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F2" w:rsidRPr="00F85F1E" w:rsidRDefault="008607F2" w:rsidP="008607F2">
      <w:pPr>
        <w:jc w:val="center"/>
        <w:rPr>
          <w:sz w:val="32"/>
          <w:szCs w:val="32"/>
        </w:rPr>
      </w:pPr>
      <w:bookmarkStart w:id="0" w:name="_GoBack"/>
      <w:bookmarkEnd w:id="0"/>
      <w:r>
        <w:rPr>
          <w:sz w:val="32"/>
          <w:szCs w:val="32"/>
        </w:rPr>
        <w:t xml:space="preserve">A Close Look on </w:t>
      </w:r>
      <w:r w:rsidRPr="00F85F1E">
        <w:rPr>
          <w:sz w:val="32"/>
          <w:szCs w:val="32"/>
        </w:rPr>
        <w:t>Mobile Number Portability in Turkey</w:t>
      </w:r>
    </w:p>
    <w:p w:rsidR="008607F2" w:rsidRDefault="008607F2" w:rsidP="008607F2">
      <w:pPr>
        <w:jc w:val="right"/>
        <w:rPr>
          <w:sz w:val="24"/>
          <w:szCs w:val="24"/>
        </w:rPr>
      </w:pPr>
    </w:p>
    <w:p w:rsidR="008607F2" w:rsidRDefault="008607F2" w:rsidP="008607F2">
      <w:pPr>
        <w:jc w:val="right"/>
        <w:rPr>
          <w:sz w:val="24"/>
          <w:szCs w:val="24"/>
        </w:rPr>
      </w:pPr>
    </w:p>
    <w:p w:rsidR="008607F2" w:rsidRPr="00F85F1E" w:rsidRDefault="008607F2" w:rsidP="007A3419">
      <w:pPr>
        <w:jc w:val="center"/>
        <w:rPr>
          <w:sz w:val="24"/>
          <w:szCs w:val="24"/>
        </w:rPr>
      </w:pPr>
      <w:r w:rsidRPr="00F85F1E">
        <w:rPr>
          <w:sz w:val="24"/>
          <w:szCs w:val="24"/>
        </w:rPr>
        <w:t>Yavuz GÖKTAYLAR</w:t>
      </w:r>
      <w:r w:rsidRPr="00F85F1E">
        <w:rPr>
          <w:rStyle w:val="Fodnotehenvisning"/>
          <w:sz w:val="24"/>
          <w:szCs w:val="24"/>
        </w:rPr>
        <w:footnoteReference w:id="1"/>
      </w:r>
      <w:r w:rsidRPr="00F85F1E">
        <w:rPr>
          <w:sz w:val="24"/>
          <w:szCs w:val="24"/>
        </w:rPr>
        <w:t xml:space="preserve"> and Mehmet Bilal ÜNVER</w:t>
      </w:r>
      <w:r w:rsidRPr="00F85F1E">
        <w:rPr>
          <w:rStyle w:val="Fodnotehenvisning"/>
          <w:sz w:val="24"/>
          <w:szCs w:val="24"/>
        </w:rPr>
        <w:footnoteReference w:id="2"/>
      </w:r>
    </w:p>
    <w:p w:rsidR="008607F2" w:rsidRDefault="008607F2" w:rsidP="008607F2">
      <w:pPr>
        <w:jc w:val="center"/>
        <w:rPr>
          <w:lang w:val="en-US"/>
        </w:rPr>
      </w:pPr>
    </w:p>
    <w:p w:rsidR="008607F2" w:rsidRDefault="008607F2" w:rsidP="007A3419">
      <w:pPr>
        <w:spacing w:line="240" w:lineRule="auto"/>
        <w:jc w:val="center"/>
        <w:rPr>
          <w:lang w:val="en-US"/>
        </w:rPr>
      </w:pPr>
      <w:r>
        <w:rPr>
          <w:lang w:val="en-US"/>
        </w:rPr>
        <w:t>Abstract</w:t>
      </w:r>
    </w:p>
    <w:p w:rsidR="007A3419" w:rsidRDefault="007A3419" w:rsidP="007A3419">
      <w:pPr>
        <w:spacing w:line="240" w:lineRule="auto"/>
        <w:jc w:val="center"/>
        <w:rPr>
          <w:lang w:val="en-US"/>
        </w:rPr>
      </w:pPr>
    </w:p>
    <w:p w:rsidR="008607F2" w:rsidRPr="008649BA" w:rsidRDefault="008607F2" w:rsidP="007A3419">
      <w:pPr>
        <w:spacing w:line="240" w:lineRule="auto"/>
        <w:rPr>
          <w:rFonts w:ascii="Times New Roman" w:hAnsi="Times New Roman" w:cs="Times New Roman"/>
          <w:b/>
          <w:sz w:val="24"/>
          <w:szCs w:val="24"/>
          <w:lang w:val="en-US"/>
        </w:rPr>
      </w:pPr>
      <w:r w:rsidRPr="008649BA">
        <w:rPr>
          <w:rFonts w:ascii="Times New Roman" w:hAnsi="Times New Roman" w:cs="Times New Roman"/>
          <w:sz w:val="24"/>
          <w:szCs w:val="24"/>
          <w:lang w:val="en-US"/>
        </w:rPr>
        <w:t xml:space="preserve">In Turkey, mobile number portability has been implemented since </w:t>
      </w:r>
      <w:r>
        <w:rPr>
          <w:rFonts w:ascii="Times New Roman" w:hAnsi="Times New Roman" w:cs="Times New Roman"/>
          <w:sz w:val="24"/>
          <w:szCs w:val="24"/>
          <w:lang w:val="en-US"/>
        </w:rPr>
        <w:t>late 2008</w:t>
      </w:r>
      <w:r w:rsidRPr="008649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implementation has been </w:t>
      </w:r>
      <w:r w:rsidRPr="008649BA">
        <w:rPr>
          <w:rFonts w:ascii="Times New Roman" w:hAnsi="Times New Roman" w:cs="Times New Roman"/>
          <w:sz w:val="24"/>
          <w:szCs w:val="24"/>
          <w:lang w:val="en-US"/>
        </w:rPr>
        <w:t>accepted</w:t>
      </w:r>
      <w:r>
        <w:rPr>
          <w:rFonts w:ascii="Times New Roman" w:hAnsi="Times New Roman" w:cs="Times New Roman"/>
          <w:sz w:val="24"/>
          <w:szCs w:val="24"/>
          <w:lang w:val="en-US"/>
        </w:rPr>
        <w:t xml:space="preserve"> generally</w:t>
      </w:r>
      <w:r w:rsidRPr="008649BA">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a </w:t>
      </w:r>
      <w:r w:rsidRPr="008649BA">
        <w:rPr>
          <w:rFonts w:ascii="Times New Roman" w:hAnsi="Times New Roman" w:cs="Times New Roman"/>
          <w:sz w:val="24"/>
          <w:szCs w:val="24"/>
          <w:lang w:val="en-US"/>
        </w:rPr>
        <w:t>successful regulation</w:t>
      </w:r>
      <w:r>
        <w:rPr>
          <w:rFonts w:ascii="Times New Roman" w:hAnsi="Times New Roman" w:cs="Times New Roman"/>
          <w:sz w:val="24"/>
          <w:szCs w:val="24"/>
          <w:lang w:val="en-US"/>
        </w:rPr>
        <w:t xml:space="preserve">. After the implementation of mobile number portability since November 2008, there is slightly decline in mobile penetration rate in Turkey which is attributed to effect of mobile number portability. In this paper, we test this hypothesis by using the Chow test to determine whether there is a regime change after introduction of mobile number portability. We use time series data, number of mobile number subscriptions, spanning period between 2002 and 2014 at monthly basis. The data is obtained from Information and Communication Technologies Authority, regulatory body in Turkey. The evidence seems to support the hypothesis.  </w:t>
      </w:r>
    </w:p>
    <w:p w:rsidR="008607F2" w:rsidRDefault="008607F2">
      <w:pPr>
        <w:rPr>
          <w:lang w:val="en-US"/>
        </w:rPr>
      </w:pPr>
    </w:p>
    <w:p w:rsidR="008607F2" w:rsidRDefault="008607F2">
      <w:pPr>
        <w:rPr>
          <w:lang w:val="en-US"/>
        </w:rPr>
      </w:pPr>
    </w:p>
    <w:p w:rsidR="007A3419" w:rsidRDefault="007A3419">
      <w:pPr>
        <w:rPr>
          <w:lang w:val="en-US"/>
        </w:rPr>
      </w:pPr>
    </w:p>
    <w:p w:rsidR="007A3419" w:rsidRDefault="007A3419">
      <w:pPr>
        <w:rPr>
          <w:lang w:val="en-US"/>
        </w:rPr>
      </w:pPr>
    </w:p>
    <w:p w:rsidR="007A3419" w:rsidRDefault="007A3419">
      <w:pPr>
        <w:rPr>
          <w:lang w:val="en-US"/>
        </w:rPr>
      </w:pPr>
    </w:p>
    <w:p w:rsidR="00D4386D" w:rsidRPr="00CF74FD" w:rsidRDefault="00BD0182">
      <w:pPr>
        <w:rPr>
          <w:lang w:val="en-US"/>
        </w:rPr>
      </w:pPr>
      <w:r w:rsidRPr="00CF74FD">
        <w:rPr>
          <w:lang w:val="en-US"/>
        </w:rPr>
        <w:t>Introduction</w:t>
      </w:r>
    </w:p>
    <w:p w:rsidR="008A4A79" w:rsidRPr="008A4A79" w:rsidRDefault="008A4A79" w:rsidP="007A3419">
      <w:pPr>
        <w:spacing w:line="240" w:lineRule="auto"/>
        <w:rPr>
          <w:rFonts w:ascii="Times New Roman" w:hAnsi="Times New Roman" w:cs="Times New Roman"/>
          <w:sz w:val="24"/>
          <w:szCs w:val="24"/>
          <w:lang w:val="en-US"/>
        </w:rPr>
      </w:pPr>
      <w:r w:rsidRPr="008A4A79">
        <w:rPr>
          <w:rFonts w:ascii="Times New Roman" w:hAnsi="Times New Roman" w:cs="Times New Roman"/>
          <w:sz w:val="24"/>
          <w:szCs w:val="24"/>
          <w:lang w:val="en-US"/>
        </w:rPr>
        <w:lastRenderedPageBreak/>
        <w:t>Turkish mobile telecommunications market, liberalized in 1998, having undergone many developments since then. One of the landmark developments for this sector was the introduction of mobile number portability (MNP) in November 9, 2008, which allows porting of one number from one mobile operator to another without any charge to be paid by the subscribers. This development, along with other regulatory acts (e.g., highly reduced interconnection rates, additional pricing rules applied to Turkcell, leading mobile operator), seem to have made a significant effect over mobile telecommunications industry in Turkey, which is expressed by many (Kulali and Bilir, 2012; Tözer and Güngör, 2012).</w:t>
      </w:r>
    </w:p>
    <w:p w:rsidR="008A4A79" w:rsidRPr="008A4A79" w:rsidRDefault="008A4A79" w:rsidP="007A3419">
      <w:pPr>
        <w:spacing w:line="240" w:lineRule="auto"/>
        <w:rPr>
          <w:rFonts w:ascii="Times New Roman" w:hAnsi="Times New Roman" w:cs="Times New Roman"/>
          <w:sz w:val="24"/>
          <w:szCs w:val="24"/>
          <w:lang w:val="en-US"/>
        </w:rPr>
      </w:pPr>
      <w:r w:rsidRPr="008A4A79">
        <w:rPr>
          <w:rFonts w:ascii="Times New Roman" w:hAnsi="Times New Roman" w:cs="Times New Roman"/>
          <w:sz w:val="24"/>
          <w:szCs w:val="24"/>
          <w:lang w:val="en-US"/>
        </w:rPr>
        <w:t>The four largest telecommunications firms in the Turkish telecom sector (three mobile firms and Türk Telekom, fixed incumbent) have recorded 26 billion TL net sales volume in 2013, and almost 71% of this volume is realized by the mobile services, namely by the three mobile operators (ICTA, Market Data, 2013 Q4). The average growth rate of gross revenue in Turkish mobile telecommunications for the last five years is 41%, marking a contrast with the stagnant growth of the fixed telecommunications sector. However, though with a lessening degree, Turkish mobile market has a remarkable concentration rate with three players, Turkcell, Telsim, and Avea that have market shares of 46,2%, 32,55%, and 21,25%, respectively (ICTA, Market Data, 2014 Q2).</w:t>
      </w:r>
      <w:r w:rsidRPr="008A4A79">
        <w:rPr>
          <w:rStyle w:val="Fodnotehenvisning"/>
          <w:rFonts w:ascii="Times New Roman" w:hAnsi="Times New Roman" w:cs="Times New Roman"/>
          <w:sz w:val="24"/>
          <w:lang w:val="en-US"/>
        </w:rPr>
        <w:t xml:space="preserve"> </w:t>
      </w:r>
      <w:r w:rsidRPr="008A4A79">
        <w:rPr>
          <w:rFonts w:ascii="Times New Roman" w:hAnsi="Times New Roman" w:cs="Times New Roman"/>
          <w:sz w:val="24"/>
          <w:szCs w:val="24"/>
          <w:lang w:val="en-US"/>
        </w:rPr>
        <w:t xml:space="preserve">Notwithstanding this issue, calling prices decrease in a day-by-day speed, being followed by a very remarkable MoU level (364 minutes per capita) (ICTA, Market Data, 2014 Q2), the highest EU rate, represent another aspect of Turkish mobile market. Such determinants, having appeared over the last five years, drove Turkish mobile market to a more balanced and fair playing field for which MNP does seem to have an important stake. </w:t>
      </w:r>
    </w:p>
    <w:p w:rsidR="008A4A79" w:rsidRPr="008A4A79" w:rsidRDefault="008A4A79" w:rsidP="007A3419">
      <w:pPr>
        <w:spacing w:line="240" w:lineRule="auto"/>
        <w:rPr>
          <w:rFonts w:ascii="Times New Roman" w:hAnsi="Times New Roman" w:cs="Times New Roman"/>
          <w:sz w:val="24"/>
          <w:szCs w:val="24"/>
          <w:lang w:val="en-US"/>
        </w:rPr>
      </w:pPr>
      <w:r w:rsidRPr="008A4A79">
        <w:rPr>
          <w:rFonts w:ascii="Times New Roman" w:hAnsi="Times New Roman" w:cs="Times New Roman"/>
          <w:sz w:val="24"/>
          <w:szCs w:val="24"/>
          <w:lang w:val="en-US"/>
        </w:rPr>
        <w:t>Traditionally, MNP has become one of the regulatory instruments towards consumer welfare and a more competitive marketplace, and Turkey’s experience proves this fact with note-worthy results. First, there arouse a variety of new and competitive tariffs, especially those of flat rates which enable calling to all directions (off-net and on-net) with a certain fixed price. This trend has intensified in 2009 and afterwards, being fed with the continued reduction of interconnection fees as well as an exponentially growing MNP. In a short period after implementation, by January 2010, ported mobile phone numbers have reached 11.251.030 (Güngör and Evren, 2010),</w:t>
      </w:r>
      <w:r>
        <w:rPr>
          <w:rFonts w:ascii="Times New Roman" w:hAnsi="Times New Roman" w:cs="Times New Roman"/>
          <w:sz w:val="24"/>
          <w:szCs w:val="24"/>
          <w:lang w:val="en-US"/>
        </w:rPr>
        <w:t xml:space="preserve"> corresponding to 17.</w:t>
      </w:r>
      <w:r w:rsidRPr="008A4A79">
        <w:rPr>
          <w:rFonts w:ascii="Times New Roman" w:hAnsi="Times New Roman" w:cs="Times New Roman"/>
          <w:sz w:val="24"/>
          <w:szCs w:val="24"/>
          <w:lang w:val="en-US"/>
        </w:rPr>
        <w:t>9% of the whole mobile subscribers, and now exceeded 75 million.</w:t>
      </w:r>
    </w:p>
    <w:p w:rsidR="008A4A79" w:rsidRPr="008A4A79" w:rsidRDefault="008A4A79" w:rsidP="007A3419">
      <w:pPr>
        <w:spacing w:line="240" w:lineRule="auto"/>
        <w:rPr>
          <w:rFonts w:ascii="Times New Roman" w:hAnsi="Times New Roman" w:cs="Times New Roman"/>
          <w:sz w:val="24"/>
          <w:szCs w:val="24"/>
          <w:lang w:val="en-US"/>
        </w:rPr>
      </w:pPr>
      <w:r w:rsidRPr="008A4A79">
        <w:rPr>
          <w:rFonts w:ascii="Times New Roman" w:hAnsi="Times New Roman" w:cs="Times New Roman"/>
          <w:sz w:val="24"/>
          <w:szCs w:val="24"/>
          <w:lang w:val="en-US"/>
        </w:rPr>
        <w:t>Second remarkable aspect of Turkish MNP experience is the distribution of mobile calls among on-net and off-net calls (Başaran, Çetinkaya and Bağdadioğlu, 2014). Flat rate tariffs and growing price competition in the market has significantly changed the so-called distribution in favor of on-n</w:t>
      </w:r>
      <w:r>
        <w:rPr>
          <w:rFonts w:ascii="Times New Roman" w:hAnsi="Times New Roman" w:cs="Times New Roman"/>
          <w:sz w:val="24"/>
          <w:szCs w:val="24"/>
          <w:lang w:val="en-US"/>
        </w:rPr>
        <w:t>et traffic, which occupies 41.</w:t>
      </w:r>
      <w:r w:rsidRPr="008A4A79">
        <w:rPr>
          <w:rFonts w:ascii="Times New Roman" w:hAnsi="Times New Roman" w:cs="Times New Roman"/>
          <w:sz w:val="24"/>
          <w:szCs w:val="24"/>
          <w:lang w:val="en-US"/>
        </w:rPr>
        <w:t>6% of the total mobile traffic now, comparing to 9% in 2008. This seems quite related to introduction of extra reduced tariffs exclusive for the newcomers preferring to port his or her number from another operator. Such subscribers are and have been invited by each mobile operator with more attractive prices comparing to those open to everyone. As a conclusion of these resultant effects, Turkey has been recorded as the leading EU country in terms of ported numbers from the beginning  (European Commission, 2013; Güngör and Evren).</w:t>
      </w:r>
    </w:p>
    <w:p w:rsidR="008A4A79" w:rsidRPr="008A4A79" w:rsidRDefault="008A4A79" w:rsidP="007A3419">
      <w:pPr>
        <w:spacing w:line="240" w:lineRule="auto"/>
        <w:rPr>
          <w:rFonts w:ascii="Times New Roman" w:hAnsi="Times New Roman" w:cs="Times New Roman"/>
          <w:sz w:val="24"/>
          <w:szCs w:val="24"/>
          <w:lang w:val="en-US"/>
        </w:rPr>
      </w:pPr>
      <w:r w:rsidRPr="008A4A79">
        <w:rPr>
          <w:rFonts w:ascii="Times New Roman" w:hAnsi="Times New Roman" w:cs="Times New Roman"/>
          <w:sz w:val="24"/>
          <w:szCs w:val="24"/>
          <w:lang w:val="en-US"/>
        </w:rPr>
        <w:t>Last but not least, after an enormous diffusion path, mobile penetration has reduced after the MNP experience, which appears to have affected the increase of mobile subscriber number. While the mobile penetration rate has been 92% at the end of 2008 after a continuous increase f</w:t>
      </w:r>
      <w:r>
        <w:rPr>
          <w:rFonts w:ascii="Times New Roman" w:hAnsi="Times New Roman" w:cs="Times New Roman"/>
          <w:sz w:val="24"/>
          <w:szCs w:val="24"/>
          <w:lang w:val="en-US"/>
        </w:rPr>
        <w:t>rom the beginning, it became 90.</w:t>
      </w:r>
      <w:r w:rsidRPr="008A4A79">
        <w:rPr>
          <w:rFonts w:ascii="Times New Roman" w:hAnsi="Times New Roman" w:cs="Times New Roman"/>
          <w:sz w:val="24"/>
          <w:szCs w:val="24"/>
          <w:lang w:val="en-US"/>
        </w:rPr>
        <w:t>9% by the end of 2013, following a fluctuatio</w:t>
      </w:r>
      <w:r>
        <w:rPr>
          <w:rFonts w:ascii="Times New Roman" w:hAnsi="Times New Roman" w:cs="Times New Roman"/>
          <w:sz w:val="24"/>
          <w:szCs w:val="24"/>
          <w:lang w:val="en-US"/>
        </w:rPr>
        <w:t>n dropping to and rising from 83.</w:t>
      </w:r>
      <w:r w:rsidRPr="008A4A79">
        <w:rPr>
          <w:rFonts w:ascii="Times New Roman" w:hAnsi="Times New Roman" w:cs="Times New Roman"/>
          <w:sz w:val="24"/>
          <w:szCs w:val="24"/>
          <w:lang w:val="en-US"/>
        </w:rPr>
        <w:t xml:space="preserve">8%. This point also refers to the research question being underlined here in this paper, which aims to analyze whether there is any structural break after </w:t>
      </w:r>
      <w:r w:rsidRPr="008A4A79">
        <w:rPr>
          <w:rFonts w:ascii="Times New Roman" w:hAnsi="Times New Roman" w:cs="Times New Roman"/>
          <w:sz w:val="24"/>
          <w:szCs w:val="24"/>
          <w:lang w:val="en-US"/>
        </w:rPr>
        <w:lastRenderedPageBreak/>
        <w:t>implementation of MNP. It is questioned whether and to what extent MNP regulation in Turkey was successful, focusing on the degree of cancellation of excess simcards resulted with the reduced number of mobile telephony subscribers following MNP.</w:t>
      </w:r>
    </w:p>
    <w:p w:rsidR="004A2CC5" w:rsidRPr="0095784D" w:rsidRDefault="00DE7E8E" w:rsidP="007A3419">
      <w:pPr>
        <w:spacing w:line="240" w:lineRule="auto"/>
        <w:rPr>
          <w:rFonts w:ascii="Times New Roman" w:hAnsi="Times New Roman" w:cs="Times New Roman"/>
          <w:sz w:val="24"/>
          <w:szCs w:val="24"/>
          <w:lang w:val="en-US"/>
        </w:rPr>
      </w:pPr>
      <w:r w:rsidRPr="0095784D">
        <w:rPr>
          <w:rFonts w:ascii="Times New Roman" w:hAnsi="Times New Roman" w:cs="Times New Roman"/>
          <w:sz w:val="24"/>
          <w:szCs w:val="24"/>
          <w:lang w:val="en-US"/>
        </w:rPr>
        <w:t xml:space="preserve">In sum, with this study, the interrelationship between MNP and mobile penetration rate is examined. </w:t>
      </w:r>
      <w:r w:rsidR="008A4A79">
        <w:rPr>
          <w:rFonts w:ascii="Times New Roman" w:hAnsi="Times New Roman" w:cs="Times New Roman"/>
          <w:sz w:val="24"/>
          <w:szCs w:val="24"/>
          <w:lang w:val="en-US"/>
        </w:rPr>
        <w:t xml:space="preserve">It </w:t>
      </w:r>
      <w:r w:rsidRPr="0095784D">
        <w:rPr>
          <w:rFonts w:ascii="Times New Roman" w:hAnsi="Times New Roman" w:cs="Times New Roman"/>
          <w:sz w:val="24"/>
          <w:szCs w:val="24"/>
          <w:lang w:val="en-US"/>
        </w:rPr>
        <w:t>has been verified using Chow test, which demonstrated that there is a regime change after introduction of MNP. We used time series data, number of mobile number subscriptions, spanning period between 2002 and 2014 at monthly basis. The data is obtained from Information and Communication Technologies Authority (ICTA), regulatory body in Turkey.</w:t>
      </w:r>
    </w:p>
    <w:p w:rsidR="00BD0182" w:rsidRDefault="00BD0182">
      <w:pPr>
        <w:rPr>
          <w:lang w:val="en-US"/>
        </w:rPr>
      </w:pPr>
      <w:r w:rsidRPr="00CF74FD">
        <w:rPr>
          <w:lang w:val="en-US"/>
        </w:rPr>
        <w:t>Method and Data</w:t>
      </w:r>
    </w:p>
    <w:p w:rsidR="00A54C8C" w:rsidRDefault="00A54C8C"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 xml:space="preserve">In general, a </w:t>
      </w:r>
      <w:r w:rsidR="004341F8">
        <w:rPr>
          <w:rFonts w:ascii="Times New Roman" w:hAnsi="Times New Roman" w:cs="Times New Roman"/>
          <w:sz w:val="24"/>
          <w:szCs w:val="24"/>
          <w:lang w:val="en-US"/>
        </w:rPr>
        <w:t xml:space="preserve">rather </w:t>
      </w:r>
      <w:r>
        <w:rPr>
          <w:rFonts w:ascii="Times New Roman" w:hAnsi="Times New Roman" w:cs="Times New Roman"/>
          <w:sz w:val="24"/>
          <w:szCs w:val="24"/>
          <w:lang w:val="en-US"/>
        </w:rPr>
        <w:t xml:space="preserve">simple approach is followed throughout the paper although </w:t>
      </w:r>
      <w:r w:rsidR="004341F8">
        <w:rPr>
          <w:rFonts w:ascii="Times New Roman" w:hAnsi="Times New Roman" w:cs="Times New Roman"/>
          <w:sz w:val="24"/>
          <w:szCs w:val="24"/>
          <w:lang w:val="en-US"/>
        </w:rPr>
        <w:t>it is acknowledged that some questions may have been</w:t>
      </w:r>
      <w:r>
        <w:rPr>
          <w:rFonts w:ascii="Times New Roman" w:hAnsi="Times New Roman" w:cs="Times New Roman"/>
          <w:sz w:val="24"/>
          <w:szCs w:val="24"/>
          <w:lang w:val="en-US"/>
        </w:rPr>
        <w:t xml:space="preserve"> l</w:t>
      </w:r>
      <w:r w:rsidR="004341F8">
        <w:rPr>
          <w:rFonts w:ascii="Times New Roman" w:hAnsi="Times New Roman" w:cs="Times New Roman"/>
          <w:sz w:val="24"/>
          <w:szCs w:val="24"/>
          <w:lang w:val="en-US"/>
        </w:rPr>
        <w:t xml:space="preserve">eft unaddressed. Essentially, several </w:t>
      </w:r>
      <w:r>
        <w:rPr>
          <w:rFonts w:ascii="Times New Roman" w:hAnsi="Times New Roman" w:cs="Times New Roman"/>
          <w:sz w:val="24"/>
          <w:szCs w:val="24"/>
          <w:lang w:val="en-US"/>
        </w:rPr>
        <w:t>ARMA model</w:t>
      </w:r>
      <w:r w:rsidR="004341F8">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4341F8">
        <w:rPr>
          <w:rFonts w:ascii="Times New Roman" w:hAnsi="Times New Roman" w:cs="Times New Roman"/>
          <w:sz w:val="24"/>
          <w:szCs w:val="24"/>
          <w:lang w:val="en-US"/>
        </w:rPr>
        <w:t xml:space="preserve">are estimated and they are used for </w:t>
      </w:r>
      <w:r w:rsidR="00E909B3">
        <w:rPr>
          <w:rFonts w:ascii="Times New Roman" w:hAnsi="Times New Roman" w:cs="Times New Roman"/>
          <w:sz w:val="24"/>
          <w:szCs w:val="24"/>
          <w:lang w:val="en-US"/>
        </w:rPr>
        <w:t xml:space="preserve">the Chow Test </w:t>
      </w:r>
      <w:r w:rsidR="004341F8">
        <w:rPr>
          <w:rFonts w:ascii="Times New Roman" w:hAnsi="Times New Roman" w:cs="Times New Roman"/>
          <w:sz w:val="24"/>
          <w:szCs w:val="24"/>
          <w:lang w:val="en-US"/>
        </w:rPr>
        <w:t xml:space="preserve">to check </w:t>
      </w:r>
      <w:r w:rsidR="00E909B3">
        <w:rPr>
          <w:rFonts w:ascii="Times New Roman" w:hAnsi="Times New Roman" w:cs="Times New Roman"/>
          <w:sz w:val="24"/>
          <w:szCs w:val="24"/>
          <w:lang w:val="en-US"/>
        </w:rPr>
        <w:t>whether there exists a structural break</w:t>
      </w:r>
      <w:r>
        <w:rPr>
          <w:rFonts w:ascii="Times New Roman" w:hAnsi="Times New Roman" w:cs="Times New Roman"/>
          <w:sz w:val="24"/>
          <w:szCs w:val="24"/>
          <w:lang w:val="en-US"/>
        </w:rPr>
        <w:t xml:space="preserve"> </w:t>
      </w:r>
      <w:r w:rsidR="00E909B3">
        <w:rPr>
          <w:rFonts w:ascii="Times New Roman" w:hAnsi="Times New Roman" w:cs="Times New Roman"/>
          <w:sz w:val="24"/>
          <w:szCs w:val="24"/>
          <w:lang w:val="en-US"/>
        </w:rPr>
        <w:t>or not</w:t>
      </w:r>
      <w:r w:rsidR="00A64553">
        <w:rPr>
          <w:rFonts w:ascii="Times New Roman" w:hAnsi="Times New Roman" w:cs="Times New Roman"/>
          <w:sz w:val="24"/>
          <w:szCs w:val="24"/>
          <w:lang w:val="en-US"/>
        </w:rPr>
        <w:t xml:space="preserve"> (Enders, 2010</w:t>
      </w:r>
      <w:r w:rsidR="00A00658">
        <w:rPr>
          <w:rFonts w:ascii="Times New Roman" w:hAnsi="Times New Roman" w:cs="Times New Roman"/>
          <w:sz w:val="24"/>
          <w:szCs w:val="24"/>
          <w:lang w:val="en-US"/>
        </w:rPr>
        <w:t xml:space="preserve"> and Chow, 1960</w:t>
      </w:r>
      <w:r w:rsidR="00A64553">
        <w:rPr>
          <w:rFonts w:ascii="Times New Roman" w:hAnsi="Times New Roman" w:cs="Times New Roman"/>
          <w:sz w:val="24"/>
          <w:szCs w:val="24"/>
          <w:lang w:val="en-US"/>
        </w:rPr>
        <w:t>).</w:t>
      </w:r>
      <w:r w:rsidR="00E909B3">
        <w:rPr>
          <w:rFonts w:ascii="Times New Roman" w:hAnsi="Times New Roman" w:cs="Times New Roman"/>
          <w:sz w:val="24"/>
          <w:szCs w:val="24"/>
          <w:lang w:val="en-US"/>
        </w:rPr>
        <w:t xml:space="preserve"> </w:t>
      </w:r>
      <w:r w:rsidR="004341F8">
        <w:rPr>
          <w:rFonts w:ascii="Times New Roman" w:hAnsi="Times New Roman" w:cs="Times New Roman"/>
          <w:sz w:val="24"/>
          <w:szCs w:val="24"/>
          <w:lang w:val="en-US"/>
        </w:rPr>
        <w:t>Ini</w:t>
      </w:r>
      <w:r w:rsidR="00E909B3">
        <w:rPr>
          <w:rFonts w:ascii="Times New Roman" w:hAnsi="Times New Roman" w:cs="Times New Roman"/>
          <w:sz w:val="24"/>
          <w:szCs w:val="24"/>
          <w:lang w:val="en-US"/>
        </w:rPr>
        <w:t>tially, popular</w:t>
      </w:r>
      <w:r>
        <w:rPr>
          <w:rFonts w:ascii="Times New Roman" w:hAnsi="Times New Roman" w:cs="Times New Roman"/>
          <w:sz w:val="24"/>
          <w:szCs w:val="24"/>
          <w:lang w:val="en-US"/>
        </w:rPr>
        <w:t xml:space="preserve"> unit root tests will be employed, namely Augmented Dickey Fuller (ADF), DF-GLS and Philips-Perron, in order to determine whether lnmpen is stationary or not. However, it should be noted that there is a vast literature on </w:t>
      </w:r>
      <w:r w:rsidR="004341F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unit root tests and </w:t>
      </w:r>
      <w:r w:rsidR="004341F8">
        <w:rPr>
          <w:rFonts w:ascii="Times New Roman" w:hAnsi="Times New Roman" w:cs="Times New Roman"/>
          <w:sz w:val="24"/>
          <w:szCs w:val="24"/>
          <w:lang w:val="en-US"/>
        </w:rPr>
        <w:t xml:space="preserve">the </w:t>
      </w:r>
      <w:r>
        <w:rPr>
          <w:rFonts w:ascii="Times New Roman" w:hAnsi="Times New Roman" w:cs="Times New Roman"/>
          <w:sz w:val="24"/>
          <w:szCs w:val="24"/>
          <w:lang w:val="en-US"/>
        </w:rPr>
        <w:t>structural breaks such that without considering possible structural break at unit root tests may lead to bias that reduces the ability to reject a false unit ro</w:t>
      </w:r>
      <w:r w:rsidR="00E909B3">
        <w:rPr>
          <w:rFonts w:ascii="Times New Roman" w:hAnsi="Times New Roman" w:cs="Times New Roman"/>
          <w:sz w:val="24"/>
          <w:szCs w:val="24"/>
          <w:lang w:val="en-US"/>
        </w:rPr>
        <w:t>ot null hypothesis (Perron, 1989</w:t>
      </w:r>
      <w:r w:rsidR="00A64553">
        <w:rPr>
          <w:rFonts w:ascii="Times New Roman" w:hAnsi="Times New Roman" w:cs="Times New Roman"/>
          <w:sz w:val="24"/>
          <w:szCs w:val="24"/>
          <w:lang w:val="en-US"/>
        </w:rPr>
        <w:t xml:space="preserve"> and Hansen, 2001</w:t>
      </w:r>
      <w:r>
        <w:rPr>
          <w:rFonts w:ascii="Times New Roman" w:hAnsi="Times New Roman" w:cs="Times New Roman"/>
          <w:sz w:val="24"/>
          <w:szCs w:val="24"/>
          <w:lang w:val="en-US"/>
        </w:rPr>
        <w:t>). For the time being</w:t>
      </w:r>
      <w:r w:rsidR="004341F8">
        <w:rPr>
          <w:rFonts w:ascii="Times New Roman" w:hAnsi="Times New Roman" w:cs="Times New Roman"/>
          <w:sz w:val="24"/>
          <w:szCs w:val="24"/>
          <w:lang w:val="en-US"/>
        </w:rPr>
        <w:t xml:space="preserve">, </w:t>
      </w:r>
      <w:r>
        <w:rPr>
          <w:rFonts w:ascii="Times New Roman" w:hAnsi="Times New Roman" w:cs="Times New Roman"/>
          <w:sz w:val="24"/>
          <w:szCs w:val="24"/>
          <w:lang w:val="en-US"/>
        </w:rPr>
        <w:t>in order to keep it simple that issue is shelved.</w:t>
      </w:r>
    </w:p>
    <w:p w:rsidR="00190690" w:rsidRDefault="004341F8"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 xml:space="preserve">In this study, </w:t>
      </w:r>
      <w:r w:rsidR="00190690">
        <w:rPr>
          <w:rFonts w:ascii="Times New Roman" w:hAnsi="Times New Roman" w:cs="Times New Roman"/>
          <w:sz w:val="24"/>
          <w:szCs w:val="24"/>
          <w:lang w:val="en-US"/>
        </w:rPr>
        <w:t>Chow t</w:t>
      </w:r>
      <w:r>
        <w:rPr>
          <w:rFonts w:ascii="Times New Roman" w:hAnsi="Times New Roman" w:cs="Times New Roman"/>
          <w:sz w:val="24"/>
          <w:szCs w:val="24"/>
          <w:lang w:val="en-US"/>
        </w:rPr>
        <w:t>est for structural break has been</w:t>
      </w:r>
      <w:r w:rsidR="00190690">
        <w:rPr>
          <w:rFonts w:ascii="Times New Roman" w:hAnsi="Times New Roman" w:cs="Times New Roman"/>
          <w:sz w:val="24"/>
          <w:szCs w:val="24"/>
          <w:lang w:val="en-US"/>
        </w:rPr>
        <w:t xml:space="preserve"> deployed based on several ARMA models. Since there is a suspicion of structural break when </w:t>
      </w:r>
      <w:r>
        <w:rPr>
          <w:rFonts w:ascii="Times New Roman" w:hAnsi="Times New Roman" w:cs="Times New Roman"/>
          <w:sz w:val="24"/>
          <w:szCs w:val="24"/>
          <w:lang w:val="en-US"/>
        </w:rPr>
        <w:t>MNP was introduced in</w:t>
      </w:r>
      <w:r w:rsidR="00190690">
        <w:rPr>
          <w:rFonts w:ascii="Times New Roman" w:hAnsi="Times New Roman" w:cs="Times New Roman"/>
          <w:sz w:val="24"/>
          <w:szCs w:val="24"/>
          <w:lang w:val="en-US"/>
        </w:rPr>
        <w:t xml:space="preserve"> late 2008, whole sample</w:t>
      </w:r>
      <w:r>
        <w:rPr>
          <w:rFonts w:ascii="Times New Roman" w:hAnsi="Times New Roman" w:cs="Times New Roman"/>
          <w:sz w:val="24"/>
          <w:szCs w:val="24"/>
          <w:lang w:val="en-US"/>
        </w:rPr>
        <w:t xml:space="preserve"> has been</w:t>
      </w:r>
      <w:r w:rsidR="00AC29A8">
        <w:rPr>
          <w:rFonts w:ascii="Times New Roman" w:hAnsi="Times New Roman" w:cs="Times New Roman"/>
          <w:sz w:val="24"/>
          <w:szCs w:val="24"/>
          <w:lang w:val="en-US"/>
        </w:rPr>
        <w:t xml:space="preserve"> separated</w:t>
      </w:r>
      <w:r w:rsidR="00190690">
        <w:rPr>
          <w:rFonts w:ascii="Times New Roman" w:hAnsi="Times New Roman" w:cs="Times New Roman"/>
          <w:sz w:val="24"/>
          <w:szCs w:val="24"/>
          <w:lang w:val="en-US"/>
        </w:rPr>
        <w:t xml:space="preserve"> into two sub-samples in order to estimate residual sum of squares of each sub-sample. Test statistic following F-distribution for the Chow test is as follows:</w:t>
      </w:r>
    </w:p>
    <w:p w:rsidR="00190690" w:rsidRDefault="00943E23" w:rsidP="007A3419">
      <w:pPr>
        <w:spacing w:line="240" w:lineRule="auto"/>
        <w:ind w:firstLine="0"/>
        <w:rPr>
          <w:rFonts w:ascii="Times New Roman" w:hAnsi="Times New Roman" w:cs="Times New Roman"/>
          <w:b/>
          <w:sz w:val="24"/>
          <w:szCs w:val="24"/>
          <w:lang w:val="en-US"/>
        </w:rPr>
      </w:pPr>
      <m:oMathPara>
        <m:oMath>
          <m:f>
            <m:fPr>
              <m:ctrlPr>
                <w:rPr>
                  <w:rFonts w:ascii="Cambria Math" w:hAnsi="Cambria Math" w:cs="Times New Roman"/>
                  <w:i/>
                  <w:sz w:val="24"/>
                  <w:szCs w:val="24"/>
                  <w:lang w:val="en-US"/>
                </w:rPr>
              </m:ctrlPr>
            </m:fPr>
            <m:num>
              <m:r>
                <m:rPr>
                  <m:sty m:val="bi"/>
                </m:rPr>
                <w:rPr>
                  <w:rFonts w:ascii="Cambria Math" w:hAnsi="Cambria Math" w:cs="Times New Roman"/>
                  <w:sz w:val="24"/>
                  <w:szCs w:val="24"/>
                  <w:lang w:val="en-US"/>
                </w:rPr>
                <m:t>(SSR-</m:t>
              </m:r>
              <m:sSub>
                <m:sSubPr>
                  <m:ctrlPr>
                    <w:rPr>
                      <w:rFonts w:ascii="Cambria Math" w:hAnsi="Cambria Math" w:cs="Times New Roman"/>
                      <w:i/>
                      <w:sz w:val="24"/>
                      <w:szCs w:val="24"/>
                      <w:lang w:val="en-US"/>
                    </w:rPr>
                  </m:ctrlPr>
                </m:sSubPr>
                <m:e>
                  <m:r>
                    <m:rPr>
                      <m:sty m:val="bi"/>
                    </m:rPr>
                    <w:rPr>
                      <w:rFonts w:ascii="Cambria Math" w:hAnsi="Cambria Math" w:cs="Times New Roman"/>
                      <w:sz w:val="24"/>
                      <w:szCs w:val="24"/>
                      <w:lang w:val="en-US"/>
                    </w:rPr>
                    <m:t>SSR</m:t>
                  </m:r>
                </m:e>
                <m:sub>
                  <m:r>
                    <m:rPr>
                      <m:sty m:val="bi"/>
                    </m:rPr>
                    <w:rPr>
                      <w:rFonts w:ascii="Cambria Math" w:hAnsi="Cambria Math" w:cs="Times New Roman"/>
                      <w:sz w:val="24"/>
                      <w:szCs w:val="24"/>
                      <w:lang w:val="en-US"/>
                    </w:rPr>
                    <m:t>1</m:t>
                  </m:r>
                </m:sub>
              </m:sSub>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sty m:val="bi"/>
                    </m:rPr>
                    <w:rPr>
                      <w:rFonts w:ascii="Cambria Math" w:hAnsi="Cambria Math" w:cs="Times New Roman"/>
                      <w:sz w:val="24"/>
                      <w:szCs w:val="24"/>
                      <w:lang w:val="en-US"/>
                    </w:rPr>
                    <m:t>SSR</m:t>
                  </m:r>
                </m:e>
                <m:sub>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lang w:val="en-US"/>
                </w:rPr>
                <m:t>)/n</m:t>
              </m:r>
            </m:num>
            <m:den>
              <m:f>
                <m:fPr>
                  <m:type m:val="lin"/>
                  <m:ctrlPr>
                    <w:rPr>
                      <w:rFonts w:ascii="Cambria Math" w:hAnsi="Cambria Math" w:cs="Times New Roman"/>
                      <w:i/>
                      <w:sz w:val="24"/>
                      <w:szCs w:val="24"/>
                      <w:lang w:val="en-US"/>
                    </w:rPr>
                  </m:ctrlPr>
                </m:fPr>
                <m:num>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sty m:val="bi"/>
                        </m:rPr>
                        <w:rPr>
                          <w:rFonts w:ascii="Cambria Math" w:hAnsi="Cambria Math" w:cs="Times New Roman"/>
                          <w:sz w:val="24"/>
                          <w:szCs w:val="24"/>
                          <w:lang w:val="en-US"/>
                        </w:rPr>
                        <m:t>SSR</m:t>
                      </m:r>
                    </m:e>
                    <m:sub>
                      <m:r>
                        <m:rPr>
                          <m:sty m:val="bi"/>
                        </m:rPr>
                        <w:rPr>
                          <w:rFonts w:ascii="Cambria Math" w:hAnsi="Cambria Math" w:cs="Times New Roman"/>
                          <w:sz w:val="24"/>
                          <w:szCs w:val="24"/>
                          <w:lang w:val="en-US"/>
                        </w:rPr>
                        <m:t>1</m:t>
                      </m:r>
                    </m:sub>
                  </m:sSub>
                  <m:r>
                    <m:rPr>
                      <m:sty m:val="bi"/>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m:rPr>
                          <m:sty m:val="bi"/>
                        </m:rPr>
                        <w:rPr>
                          <w:rFonts w:ascii="Cambria Math" w:hAnsi="Cambria Math" w:cs="Times New Roman"/>
                          <w:sz w:val="24"/>
                          <w:szCs w:val="24"/>
                          <w:lang w:val="en-US"/>
                        </w:rPr>
                        <m:t>SSR</m:t>
                      </m:r>
                    </m:e>
                    <m:sub>
                      <m:r>
                        <m:rPr>
                          <m:sty m:val="bi"/>
                        </m:rPr>
                        <w:rPr>
                          <w:rFonts w:ascii="Cambria Math" w:hAnsi="Cambria Math" w:cs="Times New Roman"/>
                          <w:sz w:val="24"/>
                          <w:szCs w:val="24"/>
                          <w:lang w:val="en-US"/>
                        </w:rPr>
                        <m:t>2</m:t>
                      </m:r>
                    </m:sub>
                  </m:sSub>
                  <m:r>
                    <m:rPr>
                      <m:sty m:val="bi"/>
                    </m:rPr>
                    <w:rPr>
                      <w:rFonts w:ascii="Cambria Math" w:hAnsi="Cambria Math" w:cs="Times New Roman"/>
                      <w:sz w:val="24"/>
                      <w:szCs w:val="24"/>
                      <w:lang w:val="en-US"/>
                    </w:rPr>
                    <m:t>)</m:t>
                  </m:r>
                </m:num>
                <m:den>
                  <m:r>
                    <m:rPr>
                      <m:sty m:val="bi"/>
                    </m:rPr>
                    <w:rPr>
                      <w:rFonts w:ascii="Cambria Math" w:hAnsi="Cambria Math" w:cs="Times New Roman"/>
                      <w:sz w:val="24"/>
                      <w:szCs w:val="24"/>
                      <w:lang w:val="en-US"/>
                    </w:rPr>
                    <m:t>(T-2</m:t>
                  </m:r>
                  <m:r>
                    <m:rPr>
                      <m:sty m:val="bi"/>
                    </m:rPr>
                    <w:rPr>
                      <w:rFonts w:ascii="Cambria Math" w:hAnsi="Cambria Math" w:cs="Times New Roman"/>
                      <w:sz w:val="24"/>
                      <w:szCs w:val="24"/>
                      <w:lang w:val="en-US"/>
                    </w:rPr>
                    <m:t>n)</m:t>
                  </m:r>
                </m:den>
              </m:f>
            </m:den>
          </m:f>
        </m:oMath>
      </m:oMathPara>
    </w:p>
    <w:p w:rsidR="00190690" w:rsidRDefault="00190690"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 xml:space="preserve">In this test statistic; SSR shows sum of the squared residuals of whole sample, </w:t>
      </w:r>
      <w:r w:rsidR="00151A27">
        <w:rPr>
          <w:rFonts w:ascii="Times New Roman" w:hAnsi="Times New Roman" w:cs="Times New Roman"/>
          <w:sz w:val="24"/>
          <w:szCs w:val="24"/>
          <w:lang w:val="en-US"/>
        </w:rPr>
        <w:t xml:space="preserve">whereas </w:t>
      </w:r>
      <w:r>
        <w:rPr>
          <w:rFonts w:ascii="Times New Roman" w:hAnsi="Times New Roman" w:cs="Times New Roman"/>
          <w:sz w:val="24"/>
          <w:szCs w:val="24"/>
          <w:lang w:val="en-US"/>
        </w:rPr>
        <w:t>SSR</w:t>
      </w:r>
      <w:r>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and SSR</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show sum of the squared residuals of each sub-sample. Furthermore, n shows number of parameters estimated and T is total number of observations. The idea is that if there is no structural change then estimated param</w:t>
      </w:r>
      <w:r w:rsidR="00151A27">
        <w:rPr>
          <w:rFonts w:ascii="Times New Roman" w:hAnsi="Times New Roman" w:cs="Times New Roman"/>
          <w:sz w:val="24"/>
          <w:szCs w:val="24"/>
          <w:lang w:val="en-US"/>
        </w:rPr>
        <w:t>eters for each subsample become</w:t>
      </w:r>
      <w:r>
        <w:rPr>
          <w:rFonts w:ascii="Times New Roman" w:hAnsi="Times New Roman" w:cs="Times New Roman"/>
          <w:sz w:val="24"/>
          <w:szCs w:val="24"/>
          <w:lang w:val="en-US"/>
        </w:rPr>
        <w:t xml:space="preserve"> equal. In other words, if there is no structural change then it may be expected that test statistics</w:t>
      </w:r>
      <w:r w:rsidR="00151A27">
        <w:rPr>
          <w:rFonts w:ascii="Times New Roman" w:hAnsi="Times New Roman" w:cs="Times New Roman"/>
          <w:sz w:val="24"/>
          <w:szCs w:val="24"/>
          <w:lang w:val="en-US"/>
        </w:rPr>
        <w:t xml:space="preserve"> get</w:t>
      </w:r>
      <w:r w:rsidR="00411EA7">
        <w:rPr>
          <w:rFonts w:ascii="Times New Roman" w:hAnsi="Times New Roman" w:cs="Times New Roman"/>
          <w:sz w:val="24"/>
          <w:szCs w:val="24"/>
          <w:lang w:val="en-US"/>
        </w:rPr>
        <w:t xml:space="preserve"> close to zero</w:t>
      </w:r>
      <w:r>
        <w:rPr>
          <w:rFonts w:ascii="Times New Roman" w:hAnsi="Times New Roman" w:cs="Times New Roman"/>
          <w:sz w:val="24"/>
          <w:szCs w:val="24"/>
          <w:lang w:val="en-US"/>
        </w:rPr>
        <w:t>. Finally, the null hypothesis to be tested is that there is no structural change.</w:t>
      </w:r>
    </w:p>
    <w:p w:rsidR="005F23B9" w:rsidRDefault="00AA4B93"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Data, monthly based number of mobile telephony subscriptions</w:t>
      </w:r>
      <w:r w:rsidR="00E17ED2">
        <w:rPr>
          <w:rFonts w:ascii="Times New Roman" w:hAnsi="Times New Roman" w:cs="Times New Roman"/>
          <w:sz w:val="24"/>
          <w:szCs w:val="24"/>
          <w:lang w:val="en-US"/>
        </w:rPr>
        <w:t xml:space="preserve"> in millions</w:t>
      </w:r>
      <w:r>
        <w:rPr>
          <w:rFonts w:ascii="Times New Roman" w:hAnsi="Times New Roman" w:cs="Times New Roman"/>
          <w:sz w:val="24"/>
          <w:szCs w:val="24"/>
          <w:lang w:val="en-US"/>
        </w:rPr>
        <w:t xml:space="preserve">, </w:t>
      </w:r>
      <w:r w:rsidR="00151A27">
        <w:rPr>
          <w:rFonts w:ascii="Times New Roman" w:hAnsi="Times New Roman" w:cs="Times New Roman"/>
          <w:sz w:val="24"/>
          <w:szCs w:val="24"/>
          <w:lang w:val="en-US"/>
        </w:rPr>
        <w:t>has been</w:t>
      </w:r>
      <w:r w:rsidR="002A1D41">
        <w:rPr>
          <w:rFonts w:ascii="Times New Roman" w:hAnsi="Times New Roman" w:cs="Times New Roman"/>
          <w:sz w:val="24"/>
          <w:szCs w:val="24"/>
          <w:lang w:val="en-US"/>
        </w:rPr>
        <w:t xml:space="preserve"> obtained from ICTA.</w:t>
      </w:r>
      <w:r>
        <w:rPr>
          <w:rFonts w:ascii="Times New Roman" w:hAnsi="Times New Roman" w:cs="Times New Roman"/>
          <w:sz w:val="24"/>
          <w:szCs w:val="24"/>
          <w:lang w:val="en-US"/>
        </w:rPr>
        <w:t xml:space="preserve"> </w:t>
      </w:r>
      <w:r w:rsidR="00B23273">
        <w:rPr>
          <w:rFonts w:ascii="Times New Roman" w:hAnsi="Times New Roman" w:cs="Times New Roman"/>
          <w:sz w:val="24"/>
          <w:szCs w:val="24"/>
          <w:lang w:val="en-US"/>
        </w:rPr>
        <w:t>It</w:t>
      </w:r>
      <w:r w:rsidR="00151A27">
        <w:rPr>
          <w:rFonts w:ascii="Times New Roman" w:hAnsi="Times New Roman" w:cs="Times New Roman"/>
          <w:sz w:val="24"/>
          <w:szCs w:val="24"/>
          <w:lang w:val="en-US"/>
        </w:rPr>
        <w:t xml:space="preserve"> spans</w:t>
      </w:r>
      <w:r>
        <w:rPr>
          <w:rFonts w:ascii="Times New Roman" w:hAnsi="Times New Roman" w:cs="Times New Roman"/>
          <w:sz w:val="24"/>
          <w:szCs w:val="24"/>
          <w:lang w:val="en-US"/>
        </w:rPr>
        <w:t xml:space="preserve"> between </w:t>
      </w:r>
      <w:r w:rsidR="00151A27">
        <w:rPr>
          <w:rFonts w:ascii="Times New Roman" w:hAnsi="Times New Roman" w:cs="Times New Roman"/>
          <w:sz w:val="24"/>
          <w:szCs w:val="24"/>
          <w:lang w:val="en-US"/>
        </w:rPr>
        <w:t xml:space="preserve">the period of </w:t>
      </w:r>
      <w:r>
        <w:rPr>
          <w:rFonts w:ascii="Times New Roman" w:hAnsi="Times New Roman" w:cs="Times New Roman"/>
          <w:sz w:val="24"/>
          <w:szCs w:val="24"/>
          <w:lang w:val="en-US"/>
        </w:rPr>
        <w:t xml:space="preserve">January, 2002 and September, 2014. </w:t>
      </w:r>
      <w:r w:rsidR="00151A27">
        <w:rPr>
          <w:rFonts w:ascii="Times New Roman" w:hAnsi="Times New Roman" w:cs="Times New Roman"/>
          <w:sz w:val="24"/>
          <w:szCs w:val="24"/>
          <w:lang w:val="en-US"/>
        </w:rPr>
        <w:t>Although</w:t>
      </w:r>
      <w:r w:rsidR="00562C3D">
        <w:rPr>
          <w:rFonts w:ascii="Times New Roman" w:hAnsi="Times New Roman" w:cs="Times New Roman"/>
          <w:sz w:val="24"/>
          <w:szCs w:val="24"/>
          <w:lang w:val="en-US"/>
        </w:rPr>
        <w:t>, mobile telephony service</w:t>
      </w:r>
      <w:r w:rsidR="00151A27">
        <w:rPr>
          <w:rFonts w:ascii="Times New Roman" w:hAnsi="Times New Roman" w:cs="Times New Roman"/>
          <w:sz w:val="24"/>
          <w:szCs w:val="24"/>
          <w:lang w:val="en-US"/>
        </w:rPr>
        <w:t xml:space="preserve"> in Turkey</w:t>
      </w:r>
      <w:r w:rsidR="00562C3D">
        <w:rPr>
          <w:rFonts w:ascii="Times New Roman" w:hAnsi="Times New Roman" w:cs="Times New Roman"/>
          <w:sz w:val="24"/>
          <w:szCs w:val="24"/>
          <w:lang w:val="en-US"/>
        </w:rPr>
        <w:t xml:space="preserve"> has been started </w:t>
      </w:r>
      <w:r w:rsidR="00151A27">
        <w:rPr>
          <w:rFonts w:ascii="Times New Roman" w:hAnsi="Times New Roman" w:cs="Times New Roman"/>
          <w:sz w:val="24"/>
          <w:szCs w:val="24"/>
          <w:lang w:val="en-US"/>
        </w:rPr>
        <w:t>to be offered in</w:t>
      </w:r>
      <w:r w:rsidR="00562C3D">
        <w:rPr>
          <w:rFonts w:ascii="Times New Roman" w:hAnsi="Times New Roman" w:cs="Times New Roman"/>
          <w:sz w:val="24"/>
          <w:szCs w:val="24"/>
          <w:lang w:val="en-US"/>
        </w:rPr>
        <w:t xml:space="preserve"> 19</w:t>
      </w:r>
      <w:r w:rsidR="00151A27">
        <w:rPr>
          <w:rFonts w:ascii="Times New Roman" w:hAnsi="Times New Roman" w:cs="Times New Roman"/>
          <w:sz w:val="24"/>
          <w:szCs w:val="24"/>
          <w:lang w:val="en-US"/>
        </w:rPr>
        <w:t>94</w:t>
      </w:r>
      <w:r w:rsidR="00B46403">
        <w:rPr>
          <w:rFonts w:ascii="Times New Roman" w:hAnsi="Times New Roman" w:cs="Times New Roman"/>
          <w:sz w:val="24"/>
          <w:szCs w:val="24"/>
          <w:lang w:val="en-US"/>
        </w:rPr>
        <w:t>, the</w:t>
      </w:r>
      <w:r w:rsidR="00562C3D">
        <w:rPr>
          <w:rFonts w:ascii="Times New Roman" w:hAnsi="Times New Roman" w:cs="Times New Roman"/>
          <w:sz w:val="24"/>
          <w:szCs w:val="24"/>
          <w:lang w:val="en-US"/>
        </w:rPr>
        <w:t xml:space="preserve"> sample does not include observations before 2002 since we could not access more data at the time being. Clearly</w:t>
      </w:r>
      <w:r w:rsidR="002E03FC">
        <w:rPr>
          <w:rFonts w:ascii="Times New Roman" w:hAnsi="Times New Roman" w:cs="Times New Roman"/>
          <w:sz w:val="24"/>
          <w:szCs w:val="24"/>
          <w:lang w:val="en-US"/>
        </w:rPr>
        <w:t xml:space="preserve">, it would </w:t>
      </w:r>
      <w:r w:rsidR="00151A27">
        <w:rPr>
          <w:rFonts w:ascii="Times New Roman" w:hAnsi="Times New Roman" w:cs="Times New Roman"/>
          <w:sz w:val="24"/>
          <w:szCs w:val="24"/>
          <w:lang w:val="en-US"/>
        </w:rPr>
        <w:t>have been better</w:t>
      </w:r>
      <w:r w:rsidR="002E03FC">
        <w:rPr>
          <w:rFonts w:ascii="Times New Roman" w:hAnsi="Times New Roman" w:cs="Times New Roman"/>
          <w:sz w:val="24"/>
          <w:szCs w:val="24"/>
          <w:lang w:val="en-US"/>
        </w:rPr>
        <w:t xml:space="preserve"> </w:t>
      </w:r>
      <w:r w:rsidR="00151A27">
        <w:rPr>
          <w:rFonts w:ascii="Times New Roman" w:hAnsi="Times New Roman" w:cs="Times New Roman"/>
          <w:sz w:val="24"/>
          <w:szCs w:val="24"/>
          <w:lang w:val="en-US"/>
        </w:rPr>
        <w:t xml:space="preserve">had more </w:t>
      </w:r>
      <w:r w:rsidR="00562C3D">
        <w:rPr>
          <w:rFonts w:ascii="Times New Roman" w:hAnsi="Times New Roman" w:cs="Times New Roman"/>
          <w:sz w:val="24"/>
          <w:szCs w:val="24"/>
          <w:lang w:val="en-US"/>
        </w:rPr>
        <w:t>observations</w:t>
      </w:r>
      <w:r w:rsidR="00151A27">
        <w:rPr>
          <w:rFonts w:ascii="Times New Roman" w:hAnsi="Times New Roman" w:cs="Times New Roman"/>
          <w:sz w:val="24"/>
          <w:szCs w:val="24"/>
          <w:lang w:val="en-US"/>
        </w:rPr>
        <w:t xml:space="preserve"> been</w:t>
      </w:r>
      <w:r w:rsidR="002E03FC">
        <w:rPr>
          <w:rFonts w:ascii="Times New Roman" w:hAnsi="Times New Roman" w:cs="Times New Roman"/>
          <w:sz w:val="24"/>
          <w:szCs w:val="24"/>
          <w:lang w:val="en-US"/>
        </w:rPr>
        <w:t xml:space="preserve"> available</w:t>
      </w:r>
      <w:r w:rsidR="00562C3D">
        <w:rPr>
          <w:rFonts w:ascii="Times New Roman" w:hAnsi="Times New Roman" w:cs="Times New Roman"/>
          <w:sz w:val="24"/>
          <w:szCs w:val="24"/>
          <w:lang w:val="en-US"/>
        </w:rPr>
        <w:t xml:space="preserve">. </w:t>
      </w:r>
    </w:p>
    <w:p w:rsidR="00986808" w:rsidRDefault="00151A27"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There is</w:t>
      </w:r>
      <w:r w:rsidR="00562C3D">
        <w:rPr>
          <w:rFonts w:ascii="Times New Roman" w:hAnsi="Times New Roman" w:cs="Times New Roman"/>
          <w:sz w:val="24"/>
          <w:szCs w:val="24"/>
          <w:lang w:val="en-US"/>
        </w:rPr>
        <w:t xml:space="preserve"> another issue such that the data</w:t>
      </w:r>
      <w:r w:rsidR="00B23273">
        <w:rPr>
          <w:rFonts w:ascii="Times New Roman" w:hAnsi="Times New Roman" w:cs="Times New Roman"/>
          <w:sz w:val="24"/>
          <w:szCs w:val="24"/>
          <w:lang w:val="en-US"/>
        </w:rPr>
        <w:t xml:space="preserve"> is consisted of both human subscriptions and machine to machine subscriptions. Machine to machine subscriptions have be</w:t>
      </w:r>
      <w:r w:rsidR="004203F6">
        <w:rPr>
          <w:rFonts w:ascii="Times New Roman" w:hAnsi="Times New Roman" w:cs="Times New Roman"/>
          <w:sz w:val="24"/>
          <w:szCs w:val="24"/>
          <w:lang w:val="en-US"/>
        </w:rPr>
        <w:t xml:space="preserve">come important </w:t>
      </w:r>
      <w:r>
        <w:rPr>
          <w:rFonts w:ascii="Times New Roman" w:hAnsi="Times New Roman" w:cs="Times New Roman"/>
          <w:sz w:val="24"/>
          <w:szCs w:val="24"/>
          <w:lang w:val="en-US"/>
        </w:rPr>
        <w:t xml:space="preserve">in Turkey </w:t>
      </w:r>
      <w:r w:rsidR="004203F6">
        <w:rPr>
          <w:rFonts w:ascii="Times New Roman" w:hAnsi="Times New Roman" w:cs="Times New Roman"/>
          <w:sz w:val="24"/>
          <w:szCs w:val="24"/>
          <w:lang w:val="en-US"/>
        </w:rPr>
        <w:t>only recently</w:t>
      </w:r>
      <w:r w:rsidR="00B23273">
        <w:rPr>
          <w:rFonts w:ascii="Times New Roman" w:hAnsi="Times New Roman" w:cs="Times New Roman"/>
          <w:sz w:val="24"/>
          <w:szCs w:val="24"/>
          <w:lang w:val="en-US"/>
        </w:rPr>
        <w:t xml:space="preserve">. Nevertheless, it implies a different data generation process since our aim is to assess the </w:t>
      </w:r>
      <w:r>
        <w:rPr>
          <w:rFonts w:ascii="Times New Roman" w:hAnsi="Times New Roman" w:cs="Times New Roman"/>
          <w:sz w:val="24"/>
          <w:szCs w:val="24"/>
          <w:lang w:val="en-US"/>
        </w:rPr>
        <w:t>MNP</w:t>
      </w:r>
      <w:r w:rsidR="00B23273">
        <w:rPr>
          <w:rFonts w:ascii="Times New Roman" w:hAnsi="Times New Roman" w:cs="Times New Roman"/>
          <w:sz w:val="24"/>
          <w:szCs w:val="24"/>
          <w:lang w:val="en-US"/>
        </w:rPr>
        <w:t xml:space="preserve"> on mobile penetration</w:t>
      </w:r>
      <w:r w:rsidR="004203F6">
        <w:rPr>
          <w:rFonts w:ascii="Times New Roman" w:hAnsi="Times New Roman" w:cs="Times New Roman"/>
          <w:sz w:val="24"/>
          <w:szCs w:val="24"/>
          <w:lang w:val="en-US"/>
        </w:rPr>
        <w:t xml:space="preserve"> and prior data has been generated</w:t>
      </w:r>
      <w:r w:rsidR="00986808">
        <w:rPr>
          <w:rFonts w:ascii="Times New Roman" w:hAnsi="Times New Roman" w:cs="Times New Roman"/>
          <w:sz w:val="24"/>
          <w:szCs w:val="24"/>
          <w:lang w:val="en-US"/>
        </w:rPr>
        <w:t xml:space="preserve"> by mainly human subscription process. In other words, if mobile number portability is effective then one m</w:t>
      </w:r>
      <w:r w:rsidR="00E17ED2">
        <w:rPr>
          <w:rFonts w:ascii="Times New Roman" w:hAnsi="Times New Roman" w:cs="Times New Roman"/>
          <w:sz w:val="24"/>
          <w:szCs w:val="24"/>
          <w:lang w:val="en-US"/>
        </w:rPr>
        <w:t xml:space="preserve">ay expect elimination of excess </w:t>
      </w:r>
      <w:r w:rsidR="00986808">
        <w:rPr>
          <w:rFonts w:ascii="Times New Roman" w:hAnsi="Times New Roman" w:cs="Times New Roman"/>
          <w:sz w:val="24"/>
          <w:szCs w:val="24"/>
          <w:lang w:val="en-US"/>
        </w:rPr>
        <w:t>individual subscriptions in the short run. In the long run, however, mobile number portability may have positive</w:t>
      </w:r>
      <w:r w:rsidR="00B23273">
        <w:rPr>
          <w:rFonts w:ascii="Times New Roman" w:hAnsi="Times New Roman" w:cs="Times New Roman"/>
          <w:sz w:val="24"/>
          <w:szCs w:val="24"/>
          <w:lang w:val="en-US"/>
        </w:rPr>
        <w:t xml:space="preserve"> </w:t>
      </w:r>
      <w:r w:rsidR="00986808">
        <w:rPr>
          <w:rFonts w:ascii="Times New Roman" w:hAnsi="Times New Roman" w:cs="Times New Roman"/>
          <w:sz w:val="24"/>
          <w:szCs w:val="24"/>
          <w:lang w:val="en-US"/>
        </w:rPr>
        <w:t>effect on mobile tel</w:t>
      </w:r>
      <w:r w:rsidR="00E4575A">
        <w:rPr>
          <w:rFonts w:ascii="Times New Roman" w:hAnsi="Times New Roman" w:cs="Times New Roman"/>
          <w:sz w:val="24"/>
          <w:szCs w:val="24"/>
          <w:lang w:val="en-US"/>
        </w:rPr>
        <w:t>ephony penetration</w:t>
      </w:r>
      <w:r w:rsidR="00986808">
        <w:rPr>
          <w:rFonts w:ascii="Times New Roman" w:hAnsi="Times New Roman" w:cs="Times New Roman"/>
          <w:sz w:val="24"/>
          <w:szCs w:val="24"/>
          <w:lang w:val="en-US"/>
        </w:rPr>
        <w:t xml:space="preserve">. Therefore, we </w:t>
      </w:r>
      <w:r w:rsidR="00E4575A">
        <w:rPr>
          <w:rFonts w:ascii="Times New Roman" w:hAnsi="Times New Roman" w:cs="Times New Roman"/>
          <w:sz w:val="24"/>
          <w:szCs w:val="24"/>
          <w:lang w:val="en-US"/>
        </w:rPr>
        <w:t xml:space="preserve">have </w:t>
      </w:r>
      <w:r w:rsidR="00986808">
        <w:rPr>
          <w:rFonts w:ascii="Times New Roman" w:hAnsi="Times New Roman" w:cs="Times New Roman"/>
          <w:sz w:val="24"/>
          <w:szCs w:val="24"/>
          <w:lang w:val="en-US"/>
        </w:rPr>
        <w:t>exclude</w:t>
      </w:r>
      <w:r w:rsidR="00E4575A">
        <w:rPr>
          <w:rFonts w:ascii="Times New Roman" w:hAnsi="Times New Roman" w:cs="Times New Roman"/>
          <w:sz w:val="24"/>
          <w:szCs w:val="24"/>
          <w:lang w:val="en-US"/>
        </w:rPr>
        <w:t>d</w:t>
      </w:r>
      <w:r w:rsidR="00986808">
        <w:rPr>
          <w:rFonts w:ascii="Times New Roman" w:hAnsi="Times New Roman" w:cs="Times New Roman"/>
          <w:sz w:val="24"/>
          <w:szCs w:val="24"/>
          <w:lang w:val="en-US"/>
        </w:rPr>
        <w:t xml:space="preserve"> the machine to machine subscriptions</w:t>
      </w:r>
      <w:r w:rsidR="00E17ED2">
        <w:rPr>
          <w:rFonts w:ascii="Times New Roman" w:hAnsi="Times New Roman" w:cs="Times New Roman"/>
          <w:sz w:val="24"/>
          <w:szCs w:val="24"/>
          <w:lang w:val="en-US"/>
        </w:rPr>
        <w:t xml:space="preserve"> in millions</w:t>
      </w:r>
      <w:r w:rsidR="00986808">
        <w:rPr>
          <w:rFonts w:ascii="Times New Roman" w:hAnsi="Times New Roman" w:cs="Times New Roman"/>
          <w:sz w:val="24"/>
          <w:szCs w:val="24"/>
          <w:lang w:val="en-US"/>
        </w:rPr>
        <w:t xml:space="preserve"> from aggregate subscription data. </w:t>
      </w:r>
      <w:r w:rsidR="00526ABB">
        <w:rPr>
          <w:rFonts w:ascii="Times New Roman" w:hAnsi="Times New Roman" w:cs="Times New Roman"/>
          <w:sz w:val="24"/>
          <w:szCs w:val="24"/>
          <w:lang w:val="en-US"/>
        </w:rPr>
        <w:t>M</w:t>
      </w:r>
      <w:r w:rsidR="00986808">
        <w:rPr>
          <w:rFonts w:ascii="Times New Roman" w:hAnsi="Times New Roman" w:cs="Times New Roman"/>
          <w:sz w:val="24"/>
          <w:szCs w:val="24"/>
          <w:lang w:val="en-US"/>
        </w:rPr>
        <w:t xml:space="preserve">achine to machine </w:t>
      </w:r>
      <w:r w:rsidR="00526ABB">
        <w:rPr>
          <w:rFonts w:ascii="Times New Roman" w:hAnsi="Times New Roman" w:cs="Times New Roman"/>
          <w:sz w:val="24"/>
          <w:szCs w:val="24"/>
          <w:lang w:val="en-US"/>
        </w:rPr>
        <w:t xml:space="preserve">subscription </w:t>
      </w:r>
      <w:r w:rsidR="00E4575A">
        <w:rPr>
          <w:rFonts w:ascii="Times New Roman" w:hAnsi="Times New Roman" w:cs="Times New Roman"/>
          <w:sz w:val="24"/>
          <w:szCs w:val="24"/>
          <w:lang w:val="en-US"/>
        </w:rPr>
        <w:t>data has</w:t>
      </w:r>
      <w:r w:rsidR="00526ABB">
        <w:rPr>
          <w:rFonts w:ascii="Times New Roman" w:hAnsi="Times New Roman" w:cs="Times New Roman"/>
          <w:sz w:val="24"/>
          <w:szCs w:val="24"/>
          <w:lang w:val="en-US"/>
        </w:rPr>
        <w:t xml:space="preserve"> also</w:t>
      </w:r>
      <w:r w:rsidR="00986808">
        <w:rPr>
          <w:rFonts w:ascii="Times New Roman" w:hAnsi="Times New Roman" w:cs="Times New Roman"/>
          <w:sz w:val="24"/>
          <w:szCs w:val="24"/>
          <w:lang w:val="en-US"/>
        </w:rPr>
        <w:t xml:space="preserve"> </w:t>
      </w:r>
      <w:r w:rsidR="00E4575A">
        <w:rPr>
          <w:rFonts w:ascii="Times New Roman" w:hAnsi="Times New Roman" w:cs="Times New Roman"/>
          <w:sz w:val="24"/>
          <w:szCs w:val="24"/>
          <w:lang w:val="en-US"/>
        </w:rPr>
        <w:t xml:space="preserve">been </w:t>
      </w:r>
      <w:r w:rsidR="00986808">
        <w:rPr>
          <w:rFonts w:ascii="Times New Roman" w:hAnsi="Times New Roman" w:cs="Times New Roman"/>
          <w:sz w:val="24"/>
          <w:szCs w:val="24"/>
          <w:lang w:val="en-US"/>
        </w:rPr>
        <w:t>obtained fro</w:t>
      </w:r>
      <w:r w:rsidR="00E4575A">
        <w:rPr>
          <w:rFonts w:ascii="Times New Roman" w:hAnsi="Times New Roman" w:cs="Times New Roman"/>
          <w:sz w:val="24"/>
          <w:szCs w:val="24"/>
          <w:lang w:val="en-US"/>
        </w:rPr>
        <w:t>m ICTA as monthly basis span</w:t>
      </w:r>
      <w:r w:rsidR="00986808">
        <w:rPr>
          <w:rFonts w:ascii="Times New Roman" w:hAnsi="Times New Roman" w:cs="Times New Roman"/>
          <w:sz w:val="24"/>
          <w:szCs w:val="24"/>
          <w:lang w:val="en-US"/>
        </w:rPr>
        <w:t xml:space="preserve"> the period between Janu</w:t>
      </w:r>
      <w:r w:rsidR="00B46403">
        <w:rPr>
          <w:rFonts w:ascii="Times New Roman" w:hAnsi="Times New Roman" w:cs="Times New Roman"/>
          <w:sz w:val="24"/>
          <w:szCs w:val="24"/>
          <w:lang w:val="en-US"/>
        </w:rPr>
        <w:t xml:space="preserve">ary 2012 and September 2014. The data </w:t>
      </w:r>
      <w:r w:rsidR="00986808">
        <w:rPr>
          <w:rFonts w:ascii="Times New Roman" w:hAnsi="Times New Roman" w:cs="Times New Roman"/>
          <w:sz w:val="24"/>
          <w:szCs w:val="24"/>
          <w:lang w:val="en-US"/>
        </w:rPr>
        <w:t>have</w:t>
      </w:r>
      <w:r w:rsidR="00B46403">
        <w:rPr>
          <w:rFonts w:ascii="Times New Roman" w:hAnsi="Times New Roman" w:cs="Times New Roman"/>
          <w:sz w:val="24"/>
          <w:szCs w:val="24"/>
          <w:lang w:val="en-US"/>
        </w:rPr>
        <w:t xml:space="preserve"> been</w:t>
      </w:r>
      <w:r w:rsidR="00986808">
        <w:rPr>
          <w:rFonts w:ascii="Times New Roman" w:hAnsi="Times New Roman" w:cs="Times New Roman"/>
          <w:sz w:val="24"/>
          <w:szCs w:val="24"/>
          <w:lang w:val="en-US"/>
        </w:rPr>
        <w:t xml:space="preserve"> linearly </w:t>
      </w:r>
      <w:r w:rsidR="00526ABB">
        <w:rPr>
          <w:rFonts w:ascii="Times New Roman" w:hAnsi="Times New Roman" w:cs="Times New Roman"/>
          <w:sz w:val="24"/>
          <w:szCs w:val="24"/>
          <w:lang w:val="en-US"/>
        </w:rPr>
        <w:t>extrapolated</w:t>
      </w:r>
      <w:r w:rsidR="00E4575A">
        <w:rPr>
          <w:rFonts w:ascii="Times New Roman" w:hAnsi="Times New Roman" w:cs="Times New Roman"/>
          <w:sz w:val="24"/>
          <w:szCs w:val="24"/>
          <w:lang w:val="en-US"/>
        </w:rPr>
        <w:t xml:space="preserve"> backward implying</w:t>
      </w:r>
      <w:r w:rsidR="00986808">
        <w:rPr>
          <w:rFonts w:ascii="Times New Roman" w:hAnsi="Times New Roman" w:cs="Times New Roman"/>
          <w:sz w:val="24"/>
          <w:szCs w:val="24"/>
          <w:lang w:val="en-US"/>
        </w:rPr>
        <w:t xml:space="preserve"> </w:t>
      </w:r>
      <w:r w:rsidR="00526ABB">
        <w:rPr>
          <w:rFonts w:ascii="Times New Roman" w:hAnsi="Times New Roman" w:cs="Times New Roman"/>
          <w:sz w:val="24"/>
          <w:szCs w:val="24"/>
          <w:lang w:val="en-US"/>
        </w:rPr>
        <w:t>positive machine to machine subscriptions from late 2007.</w:t>
      </w:r>
    </w:p>
    <w:p w:rsidR="00B46403" w:rsidRDefault="00E17ED2" w:rsidP="007A3419">
      <w:p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In order to calculate </w:t>
      </w:r>
      <w:r w:rsidR="004D5315">
        <w:rPr>
          <w:rFonts w:ascii="Times New Roman" w:hAnsi="Times New Roman" w:cs="Times New Roman"/>
          <w:sz w:val="24"/>
          <w:szCs w:val="24"/>
          <w:lang w:val="en-US"/>
        </w:rPr>
        <w:t xml:space="preserve">the </w:t>
      </w:r>
      <w:r>
        <w:rPr>
          <w:rFonts w:ascii="Times New Roman" w:hAnsi="Times New Roman" w:cs="Times New Roman"/>
          <w:sz w:val="24"/>
          <w:szCs w:val="24"/>
          <w:lang w:val="en-US"/>
        </w:rPr>
        <w:t>mobile penetration rate</w:t>
      </w:r>
      <w:r w:rsidR="00C11748">
        <w:rPr>
          <w:rFonts w:ascii="Times New Roman" w:hAnsi="Times New Roman" w:cs="Times New Roman"/>
          <w:sz w:val="24"/>
          <w:szCs w:val="24"/>
          <w:lang w:val="en-US"/>
        </w:rPr>
        <w:t xml:space="preserve"> per 100 population</w:t>
      </w:r>
      <w:r>
        <w:rPr>
          <w:rFonts w:ascii="Times New Roman" w:hAnsi="Times New Roman" w:cs="Times New Roman"/>
          <w:sz w:val="24"/>
          <w:szCs w:val="24"/>
          <w:lang w:val="en-US"/>
        </w:rPr>
        <w:t xml:space="preserve"> (mpen), adjusted</w:t>
      </w:r>
      <w:r w:rsidR="00C11748">
        <w:rPr>
          <w:rFonts w:ascii="Times New Roman" w:hAnsi="Times New Roman" w:cs="Times New Roman"/>
          <w:sz w:val="24"/>
          <w:szCs w:val="24"/>
          <w:lang w:val="en-US"/>
        </w:rPr>
        <w:t xml:space="preserve"> mobile telephony</w:t>
      </w:r>
      <w:r w:rsidR="00AB7A80">
        <w:rPr>
          <w:rFonts w:ascii="Times New Roman" w:hAnsi="Times New Roman" w:cs="Times New Roman"/>
          <w:sz w:val="24"/>
          <w:szCs w:val="24"/>
          <w:lang w:val="en-US"/>
        </w:rPr>
        <w:t xml:space="preserve"> subscription variable has been</w:t>
      </w:r>
      <w:r>
        <w:rPr>
          <w:rFonts w:ascii="Times New Roman" w:hAnsi="Times New Roman" w:cs="Times New Roman"/>
          <w:sz w:val="24"/>
          <w:szCs w:val="24"/>
          <w:lang w:val="en-US"/>
        </w:rPr>
        <w:t xml:space="preserve"> divided by population variable. </w:t>
      </w:r>
      <w:r w:rsidR="001F7178">
        <w:rPr>
          <w:rFonts w:ascii="Times New Roman" w:hAnsi="Times New Roman" w:cs="Times New Roman"/>
          <w:sz w:val="24"/>
          <w:szCs w:val="24"/>
          <w:lang w:val="en-US"/>
        </w:rPr>
        <w:t>Then natur</w:t>
      </w:r>
      <w:r w:rsidR="00AB7A80">
        <w:rPr>
          <w:rFonts w:ascii="Times New Roman" w:hAnsi="Times New Roman" w:cs="Times New Roman"/>
          <w:sz w:val="24"/>
          <w:szCs w:val="24"/>
          <w:lang w:val="en-US"/>
        </w:rPr>
        <w:t>al logarithm of that variable has been</w:t>
      </w:r>
      <w:r w:rsidR="001F7178">
        <w:rPr>
          <w:rFonts w:ascii="Times New Roman" w:hAnsi="Times New Roman" w:cs="Times New Roman"/>
          <w:sz w:val="24"/>
          <w:szCs w:val="24"/>
          <w:lang w:val="en-US"/>
        </w:rPr>
        <w:t xml:space="preserve"> calculated. </w:t>
      </w:r>
      <w:r w:rsidR="00AB7A80">
        <w:rPr>
          <w:rFonts w:ascii="Times New Roman" w:hAnsi="Times New Roman" w:cs="Times New Roman"/>
          <w:sz w:val="24"/>
          <w:szCs w:val="24"/>
          <w:lang w:val="en-US"/>
        </w:rPr>
        <w:t>Data for Turkey’s population has been</w:t>
      </w:r>
      <w:r w:rsidR="00AA4B93">
        <w:rPr>
          <w:rFonts w:ascii="Times New Roman" w:hAnsi="Times New Roman" w:cs="Times New Roman"/>
          <w:sz w:val="24"/>
          <w:szCs w:val="24"/>
          <w:lang w:val="en-US"/>
        </w:rPr>
        <w:t xml:space="preserve"> obtained by Turkish Statistical Agency at yearly basis. Then </w:t>
      </w:r>
      <w:r w:rsidR="00AB7A80">
        <w:rPr>
          <w:rFonts w:ascii="Times New Roman" w:hAnsi="Times New Roman" w:cs="Times New Roman"/>
          <w:sz w:val="24"/>
          <w:szCs w:val="24"/>
          <w:lang w:val="en-US"/>
        </w:rPr>
        <w:t>it has been</w:t>
      </w:r>
      <w:r w:rsidR="00D90326">
        <w:rPr>
          <w:rFonts w:ascii="Times New Roman" w:hAnsi="Times New Roman" w:cs="Times New Roman"/>
          <w:sz w:val="24"/>
          <w:szCs w:val="24"/>
          <w:lang w:val="en-US"/>
        </w:rPr>
        <w:t xml:space="preserve"> transformed to monthly basis </w:t>
      </w:r>
      <w:r w:rsidR="00AA4B93">
        <w:rPr>
          <w:rFonts w:ascii="Times New Roman" w:hAnsi="Times New Roman" w:cs="Times New Roman"/>
          <w:sz w:val="24"/>
          <w:szCs w:val="24"/>
          <w:lang w:val="en-US"/>
        </w:rPr>
        <w:t>by</w:t>
      </w:r>
      <w:r w:rsidR="00D90326">
        <w:rPr>
          <w:rFonts w:ascii="Times New Roman" w:hAnsi="Times New Roman" w:cs="Times New Roman"/>
          <w:sz w:val="24"/>
          <w:szCs w:val="24"/>
          <w:lang w:val="en-US"/>
        </w:rPr>
        <w:t xml:space="preserve"> using</w:t>
      </w:r>
      <w:r>
        <w:rPr>
          <w:rFonts w:ascii="Times New Roman" w:hAnsi="Times New Roman" w:cs="Times New Roman"/>
          <w:sz w:val="24"/>
          <w:szCs w:val="24"/>
          <w:lang w:val="en-US"/>
        </w:rPr>
        <w:t xml:space="preserve"> linear extrapolation</w:t>
      </w:r>
      <w:r w:rsidR="00D90326">
        <w:rPr>
          <w:rFonts w:ascii="Times New Roman" w:hAnsi="Times New Roman" w:cs="Times New Roman"/>
          <w:sz w:val="24"/>
          <w:szCs w:val="24"/>
          <w:lang w:val="en-US"/>
        </w:rPr>
        <w:t>.</w:t>
      </w:r>
      <w:r w:rsidR="002A1D41">
        <w:rPr>
          <w:rFonts w:ascii="Times New Roman" w:hAnsi="Times New Roman" w:cs="Times New Roman"/>
          <w:sz w:val="24"/>
          <w:szCs w:val="24"/>
          <w:lang w:val="en-US"/>
        </w:rPr>
        <w:t xml:space="preserve"> </w:t>
      </w:r>
      <w:r w:rsidR="00B46403">
        <w:rPr>
          <w:rFonts w:ascii="Times New Roman" w:hAnsi="Times New Roman" w:cs="Times New Roman"/>
          <w:sz w:val="24"/>
          <w:szCs w:val="24"/>
          <w:lang w:val="en-US"/>
        </w:rPr>
        <w:t>Table 1 shows the summary statistics of the sample data consisted of 153 observations.</w:t>
      </w:r>
    </w:p>
    <w:p w:rsidR="007A3419" w:rsidRDefault="007A3419" w:rsidP="007A3419">
      <w:pPr>
        <w:spacing w:line="240" w:lineRule="auto"/>
        <w:ind w:firstLine="0"/>
        <w:rPr>
          <w:rFonts w:ascii="Times New Roman" w:hAnsi="Times New Roman" w:cs="Times New Roman"/>
          <w:b/>
          <w:sz w:val="24"/>
          <w:szCs w:val="24"/>
          <w:lang w:val="en-US"/>
        </w:rPr>
      </w:pPr>
    </w:p>
    <w:p w:rsidR="00B46403" w:rsidRPr="00AB0ADB" w:rsidRDefault="00B46403" w:rsidP="00B46403">
      <w:pPr>
        <w:spacing w:line="240" w:lineRule="auto"/>
        <w:ind w:firstLine="0"/>
        <w:rPr>
          <w:rFonts w:ascii="Times New Roman" w:hAnsi="Times New Roman" w:cs="Times New Roman"/>
          <w:sz w:val="24"/>
          <w:szCs w:val="24"/>
          <w:lang w:val="en-US"/>
        </w:rPr>
      </w:pPr>
      <w:r w:rsidRPr="00AB0ADB">
        <w:rPr>
          <w:rFonts w:ascii="Times New Roman" w:hAnsi="Times New Roman" w:cs="Times New Roman"/>
          <w:sz w:val="24"/>
          <w:szCs w:val="24"/>
          <w:lang w:val="en-US"/>
        </w:rPr>
        <w:t>Table 1: Summary statistics</w:t>
      </w:r>
    </w:p>
    <w:tbl>
      <w:tblPr>
        <w:tblStyle w:val="Tabel-Gitter"/>
        <w:tblW w:w="0" w:type="auto"/>
        <w:tblLook w:val="04A0" w:firstRow="1" w:lastRow="0" w:firstColumn="1" w:lastColumn="0" w:noHBand="0" w:noVBand="1"/>
      </w:tblPr>
      <w:tblGrid>
        <w:gridCol w:w="1507"/>
        <w:gridCol w:w="1521"/>
        <w:gridCol w:w="1499"/>
        <w:gridCol w:w="1510"/>
        <w:gridCol w:w="1512"/>
        <w:gridCol w:w="1513"/>
      </w:tblGrid>
      <w:tr w:rsidR="00B46403" w:rsidTr="00FF6296">
        <w:trPr>
          <w:trHeight w:val="606"/>
        </w:trPr>
        <w:tc>
          <w:tcPr>
            <w:tcW w:w="1507" w:type="dxa"/>
            <w:vAlign w:val="center"/>
          </w:tcPr>
          <w:p w:rsidR="00B46403" w:rsidRPr="00AB0ADB" w:rsidRDefault="00B46403" w:rsidP="00FF6296">
            <w:pPr>
              <w:ind w:firstLine="0"/>
              <w:jc w:val="center"/>
              <w:rPr>
                <w:rFonts w:ascii="Times New Roman" w:hAnsi="Times New Roman" w:cs="Times New Roman"/>
                <w:b/>
                <w:sz w:val="20"/>
                <w:szCs w:val="20"/>
                <w:lang w:val="en-US"/>
              </w:rPr>
            </w:pPr>
            <w:r w:rsidRPr="00AB0ADB">
              <w:rPr>
                <w:rFonts w:ascii="Times New Roman" w:hAnsi="Times New Roman" w:cs="Times New Roman"/>
                <w:sz w:val="20"/>
                <w:szCs w:val="20"/>
                <w:lang w:val="en-US"/>
              </w:rPr>
              <w:t>Variable</w:t>
            </w:r>
          </w:p>
        </w:tc>
        <w:tc>
          <w:tcPr>
            <w:tcW w:w="1521" w:type="dxa"/>
            <w:vAlign w:val="center"/>
          </w:tcPr>
          <w:p w:rsidR="00B46403" w:rsidRPr="00AB0ADB" w:rsidRDefault="00B46403" w:rsidP="00FF6296">
            <w:pPr>
              <w:ind w:firstLine="0"/>
              <w:jc w:val="center"/>
              <w:rPr>
                <w:rFonts w:ascii="Times New Roman" w:hAnsi="Times New Roman" w:cs="Times New Roman"/>
                <w:b/>
                <w:sz w:val="20"/>
                <w:szCs w:val="20"/>
                <w:lang w:val="en-US"/>
              </w:rPr>
            </w:pPr>
            <w:r w:rsidRPr="00AB0ADB">
              <w:rPr>
                <w:rFonts w:ascii="Times New Roman" w:hAnsi="Times New Roman" w:cs="Times New Roman"/>
                <w:sz w:val="20"/>
                <w:szCs w:val="20"/>
                <w:lang w:val="en-US"/>
              </w:rPr>
              <w:t>Number of observations</w:t>
            </w:r>
          </w:p>
        </w:tc>
        <w:tc>
          <w:tcPr>
            <w:tcW w:w="1499" w:type="dxa"/>
            <w:vAlign w:val="center"/>
          </w:tcPr>
          <w:p w:rsidR="00B46403" w:rsidRPr="00AB0ADB" w:rsidRDefault="00B46403" w:rsidP="00FF6296">
            <w:pPr>
              <w:ind w:firstLine="0"/>
              <w:jc w:val="center"/>
              <w:rPr>
                <w:rFonts w:ascii="Times New Roman" w:hAnsi="Times New Roman" w:cs="Times New Roman"/>
                <w:b/>
                <w:sz w:val="20"/>
                <w:szCs w:val="20"/>
                <w:lang w:val="en-US"/>
              </w:rPr>
            </w:pPr>
            <w:r w:rsidRPr="00AB0ADB">
              <w:rPr>
                <w:rFonts w:ascii="Times New Roman" w:hAnsi="Times New Roman" w:cs="Times New Roman"/>
                <w:sz w:val="20"/>
                <w:szCs w:val="20"/>
                <w:lang w:val="en-US"/>
              </w:rPr>
              <w:t>Mean</w:t>
            </w:r>
          </w:p>
        </w:tc>
        <w:tc>
          <w:tcPr>
            <w:tcW w:w="1510" w:type="dxa"/>
            <w:vAlign w:val="center"/>
          </w:tcPr>
          <w:p w:rsidR="00B46403" w:rsidRPr="00AB0ADB" w:rsidRDefault="00B46403" w:rsidP="00FF6296">
            <w:pPr>
              <w:ind w:firstLine="0"/>
              <w:jc w:val="center"/>
              <w:rPr>
                <w:rFonts w:ascii="Times New Roman" w:hAnsi="Times New Roman" w:cs="Times New Roman"/>
                <w:b/>
                <w:sz w:val="20"/>
                <w:szCs w:val="20"/>
                <w:lang w:val="en-US"/>
              </w:rPr>
            </w:pPr>
            <w:r w:rsidRPr="00AB0ADB">
              <w:rPr>
                <w:rFonts w:ascii="Times New Roman" w:hAnsi="Times New Roman" w:cs="Times New Roman"/>
                <w:sz w:val="20"/>
                <w:szCs w:val="20"/>
                <w:lang w:val="en-US"/>
              </w:rPr>
              <w:t>Standard Deviation</w:t>
            </w:r>
          </w:p>
        </w:tc>
        <w:tc>
          <w:tcPr>
            <w:tcW w:w="1512" w:type="dxa"/>
            <w:vAlign w:val="center"/>
          </w:tcPr>
          <w:p w:rsidR="00B46403" w:rsidRPr="00AB0ADB" w:rsidRDefault="00B46403" w:rsidP="00FF6296">
            <w:pPr>
              <w:ind w:firstLine="0"/>
              <w:jc w:val="center"/>
              <w:rPr>
                <w:rFonts w:ascii="Times New Roman" w:hAnsi="Times New Roman" w:cs="Times New Roman"/>
                <w:b/>
                <w:sz w:val="20"/>
                <w:szCs w:val="20"/>
                <w:lang w:val="en-US"/>
              </w:rPr>
            </w:pPr>
            <w:r w:rsidRPr="00AB0ADB">
              <w:rPr>
                <w:rFonts w:ascii="Times New Roman" w:hAnsi="Times New Roman" w:cs="Times New Roman"/>
                <w:sz w:val="20"/>
                <w:szCs w:val="20"/>
                <w:lang w:val="en-US"/>
              </w:rPr>
              <w:t>Minimum</w:t>
            </w:r>
          </w:p>
        </w:tc>
        <w:tc>
          <w:tcPr>
            <w:tcW w:w="1513" w:type="dxa"/>
            <w:vAlign w:val="center"/>
          </w:tcPr>
          <w:p w:rsidR="00B46403" w:rsidRPr="00AB0ADB" w:rsidRDefault="00B46403" w:rsidP="00FF6296">
            <w:pPr>
              <w:ind w:firstLine="0"/>
              <w:jc w:val="center"/>
              <w:rPr>
                <w:rFonts w:ascii="Times New Roman" w:hAnsi="Times New Roman" w:cs="Times New Roman"/>
                <w:b/>
                <w:sz w:val="20"/>
                <w:szCs w:val="20"/>
                <w:lang w:val="en-US"/>
              </w:rPr>
            </w:pPr>
            <w:r w:rsidRPr="00AB0ADB">
              <w:rPr>
                <w:rFonts w:ascii="Times New Roman" w:hAnsi="Times New Roman" w:cs="Times New Roman"/>
                <w:sz w:val="20"/>
                <w:szCs w:val="20"/>
                <w:lang w:val="en-US"/>
              </w:rPr>
              <w:t>Maximum</w:t>
            </w:r>
          </w:p>
        </w:tc>
      </w:tr>
      <w:tr w:rsidR="00B46403" w:rsidTr="00FF6296">
        <w:trPr>
          <w:trHeight w:val="284"/>
        </w:trPr>
        <w:tc>
          <w:tcPr>
            <w:tcW w:w="1507"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mtel</w:t>
            </w:r>
          </w:p>
        </w:tc>
        <w:tc>
          <w:tcPr>
            <w:tcW w:w="1521"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153</w:t>
            </w:r>
          </w:p>
        </w:tc>
        <w:tc>
          <w:tcPr>
            <w:tcW w:w="1499"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52.287</w:t>
            </w:r>
          </w:p>
        </w:tc>
        <w:tc>
          <w:tcPr>
            <w:tcW w:w="1510"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16.701</w:t>
            </w:r>
          </w:p>
        </w:tc>
        <w:tc>
          <w:tcPr>
            <w:tcW w:w="1512"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18.593</w:t>
            </w:r>
          </w:p>
        </w:tc>
        <w:tc>
          <w:tcPr>
            <w:tcW w:w="1513"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71.909</w:t>
            </w:r>
          </w:p>
        </w:tc>
      </w:tr>
      <w:tr w:rsidR="00B46403" w:rsidTr="00FF6296">
        <w:trPr>
          <w:trHeight w:val="284"/>
        </w:trPr>
        <w:tc>
          <w:tcPr>
            <w:tcW w:w="1507" w:type="dxa"/>
            <w:vAlign w:val="center"/>
          </w:tcPr>
          <w:p w:rsidR="00B46403" w:rsidRPr="00AB0ADB" w:rsidRDefault="00B46403" w:rsidP="00FF6296">
            <w:pPr>
              <w:ind w:firstLine="0"/>
              <w:jc w:val="center"/>
              <w:rPr>
                <w:rFonts w:ascii="Times New Roman" w:hAnsi="Times New Roman" w:cs="Times New Roman"/>
                <w:b/>
                <w:sz w:val="20"/>
                <w:szCs w:val="20"/>
                <w:lang w:val="en-US"/>
              </w:rPr>
            </w:pPr>
            <w:r w:rsidRPr="00AB0ADB">
              <w:rPr>
                <w:rFonts w:ascii="Times New Roman" w:hAnsi="Times New Roman" w:cs="Times New Roman"/>
                <w:sz w:val="20"/>
                <w:szCs w:val="20"/>
                <w:lang w:val="en-US"/>
              </w:rPr>
              <w:t>mpen</w:t>
            </w:r>
          </w:p>
        </w:tc>
        <w:tc>
          <w:tcPr>
            <w:tcW w:w="1521" w:type="dxa"/>
            <w:vAlign w:val="center"/>
          </w:tcPr>
          <w:p w:rsidR="00B46403" w:rsidRPr="00AB0ADB" w:rsidRDefault="00B46403" w:rsidP="00FF6296">
            <w:pPr>
              <w:ind w:firstLine="0"/>
              <w:jc w:val="center"/>
              <w:rPr>
                <w:rFonts w:ascii="Times New Roman" w:hAnsi="Times New Roman" w:cs="Times New Roman"/>
                <w:b/>
                <w:sz w:val="20"/>
                <w:szCs w:val="20"/>
                <w:lang w:val="en-US"/>
              </w:rPr>
            </w:pPr>
            <w:r w:rsidRPr="00AB0ADB">
              <w:rPr>
                <w:rFonts w:ascii="Times New Roman" w:hAnsi="Times New Roman" w:cs="Times New Roman"/>
                <w:sz w:val="20"/>
                <w:szCs w:val="20"/>
                <w:lang w:val="en-US"/>
              </w:rPr>
              <w:t>153</w:t>
            </w:r>
          </w:p>
        </w:tc>
        <w:tc>
          <w:tcPr>
            <w:tcW w:w="1499"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71.767</w:t>
            </w:r>
          </w:p>
        </w:tc>
        <w:tc>
          <w:tcPr>
            <w:tcW w:w="1510"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20.233</w:t>
            </w:r>
          </w:p>
        </w:tc>
        <w:tc>
          <w:tcPr>
            <w:tcW w:w="1512" w:type="dxa"/>
            <w:vAlign w:val="center"/>
          </w:tcPr>
          <w:p w:rsidR="00B46403" w:rsidRPr="00AB0ADB" w:rsidRDefault="00B46403" w:rsidP="00FF6296">
            <w:pPr>
              <w:ind w:firstLine="0"/>
              <w:jc w:val="center"/>
              <w:rPr>
                <w:rFonts w:ascii="Times New Roman" w:hAnsi="Times New Roman" w:cs="Times New Roman"/>
                <w:b/>
                <w:sz w:val="20"/>
                <w:szCs w:val="20"/>
                <w:lang w:val="en-US"/>
              </w:rPr>
            </w:pPr>
            <w:r w:rsidRPr="00AB0ADB">
              <w:rPr>
                <w:rFonts w:ascii="Times New Roman" w:hAnsi="Times New Roman" w:cs="Times New Roman"/>
                <w:sz w:val="20"/>
                <w:szCs w:val="20"/>
                <w:lang w:val="en-US"/>
              </w:rPr>
              <w:t>28.483</w:t>
            </w:r>
          </w:p>
        </w:tc>
        <w:tc>
          <w:tcPr>
            <w:tcW w:w="1513"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91.636</w:t>
            </w:r>
          </w:p>
        </w:tc>
      </w:tr>
      <w:tr w:rsidR="00B46403" w:rsidTr="00FF6296">
        <w:trPr>
          <w:trHeight w:val="284"/>
        </w:trPr>
        <w:tc>
          <w:tcPr>
            <w:tcW w:w="1507"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lnmpen</w:t>
            </w:r>
          </w:p>
        </w:tc>
        <w:tc>
          <w:tcPr>
            <w:tcW w:w="1521"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153</w:t>
            </w:r>
          </w:p>
        </w:tc>
        <w:tc>
          <w:tcPr>
            <w:tcW w:w="1499" w:type="dxa"/>
            <w:vAlign w:val="center"/>
          </w:tcPr>
          <w:p w:rsidR="00B46403"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4.223</w:t>
            </w:r>
          </w:p>
        </w:tc>
        <w:tc>
          <w:tcPr>
            <w:tcW w:w="1510" w:type="dxa"/>
            <w:vAlign w:val="center"/>
          </w:tcPr>
          <w:p w:rsidR="00B46403"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0.344</w:t>
            </w:r>
          </w:p>
        </w:tc>
        <w:tc>
          <w:tcPr>
            <w:tcW w:w="1512" w:type="dxa"/>
            <w:vAlign w:val="center"/>
          </w:tcPr>
          <w:p w:rsidR="00B46403" w:rsidRPr="00AB0ADB"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3.349</w:t>
            </w:r>
          </w:p>
        </w:tc>
        <w:tc>
          <w:tcPr>
            <w:tcW w:w="1513" w:type="dxa"/>
            <w:vAlign w:val="center"/>
          </w:tcPr>
          <w:p w:rsidR="00B46403" w:rsidRDefault="00B46403" w:rsidP="00FF6296">
            <w:pPr>
              <w:ind w:firstLine="0"/>
              <w:jc w:val="center"/>
              <w:rPr>
                <w:rFonts w:ascii="Times New Roman" w:hAnsi="Times New Roman" w:cs="Times New Roman"/>
                <w:b/>
                <w:sz w:val="20"/>
                <w:szCs w:val="20"/>
                <w:lang w:val="en-US"/>
              </w:rPr>
            </w:pPr>
            <w:r>
              <w:rPr>
                <w:rFonts w:ascii="Times New Roman" w:hAnsi="Times New Roman" w:cs="Times New Roman"/>
                <w:sz w:val="20"/>
                <w:szCs w:val="20"/>
                <w:lang w:val="en-US"/>
              </w:rPr>
              <w:t>4.518</w:t>
            </w:r>
          </w:p>
        </w:tc>
      </w:tr>
    </w:tbl>
    <w:p w:rsidR="00B46403" w:rsidRDefault="00B46403" w:rsidP="007A3419">
      <w:pPr>
        <w:spacing w:line="240" w:lineRule="auto"/>
        <w:ind w:firstLine="0"/>
        <w:rPr>
          <w:rFonts w:ascii="Times New Roman" w:hAnsi="Times New Roman" w:cs="Times New Roman"/>
          <w:b/>
          <w:sz w:val="24"/>
          <w:szCs w:val="24"/>
          <w:lang w:val="en-US"/>
        </w:rPr>
      </w:pPr>
    </w:p>
    <w:p w:rsidR="00B46403" w:rsidRDefault="005F23B9" w:rsidP="007A3419">
      <w:p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Graph 1 shows the change in mobile penetration rate in time. As it</w:t>
      </w:r>
      <w:r w:rsidR="00AB7A80">
        <w:rPr>
          <w:rFonts w:ascii="Times New Roman" w:hAnsi="Times New Roman" w:cs="Times New Roman"/>
          <w:sz w:val="24"/>
          <w:szCs w:val="24"/>
          <w:lang w:val="en-US"/>
        </w:rPr>
        <w:t xml:space="preserve"> is clearly seen that until November</w:t>
      </w:r>
      <w:r>
        <w:rPr>
          <w:rFonts w:ascii="Times New Roman" w:hAnsi="Times New Roman" w:cs="Times New Roman"/>
          <w:sz w:val="24"/>
          <w:szCs w:val="24"/>
          <w:lang w:val="en-US"/>
        </w:rPr>
        <w:t xml:space="preserve"> 2008 mobile penetration rate increases steadily. The dashed line at graph 1 </w:t>
      </w:r>
      <w:r w:rsidR="00AB7A80">
        <w:rPr>
          <w:rFonts w:ascii="Times New Roman" w:hAnsi="Times New Roman" w:cs="Times New Roman"/>
          <w:sz w:val="24"/>
          <w:szCs w:val="24"/>
          <w:lang w:val="en-US"/>
        </w:rPr>
        <w:t>shows the date of introduction of MNP</w:t>
      </w:r>
      <w:r>
        <w:rPr>
          <w:rFonts w:ascii="Times New Roman" w:hAnsi="Times New Roman" w:cs="Times New Roman"/>
          <w:sz w:val="24"/>
          <w:szCs w:val="24"/>
          <w:lang w:val="en-US"/>
        </w:rPr>
        <w:t xml:space="preserve">, that is November 2008. After then there is a declining trend for a while </w:t>
      </w:r>
      <w:r w:rsidR="00AB7A80">
        <w:rPr>
          <w:rFonts w:ascii="Times New Roman" w:hAnsi="Times New Roman" w:cs="Times New Roman"/>
          <w:sz w:val="24"/>
          <w:szCs w:val="24"/>
          <w:lang w:val="en-US"/>
        </w:rPr>
        <w:t xml:space="preserve">so </w:t>
      </w:r>
      <w:r>
        <w:rPr>
          <w:rFonts w:ascii="Times New Roman" w:hAnsi="Times New Roman" w:cs="Times New Roman"/>
          <w:sz w:val="24"/>
          <w:szCs w:val="24"/>
          <w:lang w:val="en-US"/>
        </w:rPr>
        <w:t>that</w:t>
      </w:r>
      <w:r w:rsidR="00AB7A8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pattern is contrasted with prior period.</w:t>
      </w:r>
      <w:r w:rsidR="00B46403">
        <w:rPr>
          <w:rFonts w:ascii="Times New Roman" w:hAnsi="Times New Roman" w:cs="Times New Roman"/>
          <w:sz w:val="24"/>
          <w:szCs w:val="24"/>
          <w:lang w:val="en-US"/>
        </w:rPr>
        <w:t xml:space="preserve"> </w:t>
      </w:r>
    </w:p>
    <w:p w:rsidR="007A3419" w:rsidRDefault="007A3419" w:rsidP="007A3419">
      <w:pPr>
        <w:spacing w:line="240" w:lineRule="auto"/>
        <w:ind w:firstLine="0"/>
        <w:rPr>
          <w:rFonts w:ascii="Times New Roman" w:hAnsi="Times New Roman" w:cs="Times New Roman"/>
          <w:sz w:val="24"/>
          <w:szCs w:val="24"/>
          <w:lang w:val="en-US"/>
        </w:rPr>
      </w:pPr>
    </w:p>
    <w:p w:rsidR="005F23B9" w:rsidRPr="00CD0D5B" w:rsidRDefault="005F23B9" w:rsidP="005F23B9">
      <w:pPr>
        <w:ind w:firstLine="0"/>
        <w:rPr>
          <w:rFonts w:ascii="Times New Roman" w:hAnsi="Times New Roman" w:cs="Times New Roman"/>
          <w:sz w:val="24"/>
          <w:szCs w:val="24"/>
          <w:lang w:val="en-US"/>
        </w:rPr>
      </w:pPr>
      <w:r w:rsidRPr="00CD0D5B">
        <w:rPr>
          <w:rFonts w:ascii="Times New Roman" w:hAnsi="Times New Roman" w:cs="Times New Roman"/>
          <w:sz w:val="24"/>
          <w:szCs w:val="24"/>
          <w:lang w:val="en-US"/>
        </w:rPr>
        <w:t>Graph 1: Mobile Telephony Penetration Rate</w:t>
      </w:r>
    </w:p>
    <w:p w:rsidR="005F23B9" w:rsidRDefault="005F23B9" w:rsidP="005F23B9">
      <w:pPr>
        <w:ind w:firstLine="0"/>
        <w:jc w:val="left"/>
        <w:rPr>
          <w:rFonts w:ascii="Times New Roman" w:hAnsi="Times New Roman" w:cs="Times New Roman"/>
          <w:b/>
          <w:sz w:val="24"/>
          <w:szCs w:val="24"/>
          <w:lang w:val="en-US"/>
        </w:rPr>
      </w:pPr>
      <w:r w:rsidRPr="006D733A">
        <w:rPr>
          <w:rFonts w:ascii="Times New Roman" w:hAnsi="Times New Roman" w:cs="Times New Roman"/>
          <w:b/>
          <w:noProof/>
          <w:sz w:val="24"/>
          <w:szCs w:val="24"/>
          <w:lang w:val="da-DK" w:eastAsia="da-DK"/>
        </w:rPr>
        <w:drawing>
          <wp:inline distT="0" distB="0" distL="0" distR="0">
            <wp:extent cx="3305830" cy="2419350"/>
            <wp:effectExtent l="0" t="0" r="889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0445" cy="2452001"/>
                    </a:xfrm>
                    <a:prstGeom prst="rect">
                      <a:avLst/>
                    </a:prstGeom>
                    <a:noFill/>
                    <a:ln>
                      <a:noFill/>
                    </a:ln>
                  </pic:spPr>
                </pic:pic>
              </a:graphicData>
            </a:graphic>
          </wp:inline>
        </w:drawing>
      </w:r>
    </w:p>
    <w:p w:rsidR="005F23B9" w:rsidRDefault="005F23B9" w:rsidP="007A3419">
      <w:pPr>
        <w:spacing w:line="240" w:lineRule="auto"/>
        <w:ind w:firstLine="0"/>
        <w:rPr>
          <w:rFonts w:ascii="Times New Roman" w:hAnsi="Times New Roman" w:cs="Times New Roman"/>
          <w:b/>
          <w:sz w:val="24"/>
          <w:szCs w:val="24"/>
          <w:lang w:val="en-US"/>
        </w:rPr>
      </w:pPr>
    </w:p>
    <w:p w:rsidR="00190690" w:rsidRDefault="005F23B9" w:rsidP="007A3419">
      <w:p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Since the graph of lnmpen implies a determinist</w:t>
      </w:r>
      <w:r w:rsidR="00AB7A80">
        <w:rPr>
          <w:rFonts w:ascii="Times New Roman" w:hAnsi="Times New Roman" w:cs="Times New Roman"/>
          <w:sz w:val="24"/>
          <w:szCs w:val="24"/>
          <w:lang w:val="en-US"/>
        </w:rPr>
        <w:t>ic trend, it may not be surprising</w:t>
      </w:r>
      <w:r>
        <w:rPr>
          <w:rFonts w:ascii="Times New Roman" w:hAnsi="Times New Roman" w:cs="Times New Roman"/>
          <w:sz w:val="24"/>
          <w:szCs w:val="24"/>
          <w:lang w:val="en-US"/>
        </w:rPr>
        <w:t xml:space="preserve"> if</w:t>
      </w:r>
      <w:r w:rsidR="00AB7A8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lnmpen is non</w:t>
      </w:r>
      <w:r w:rsidR="00AB7A80">
        <w:rPr>
          <w:rFonts w:ascii="Times New Roman" w:hAnsi="Times New Roman" w:cs="Times New Roman"/>
          <w:sz w:val="24"/>
          <w:szCs w:val="24"/>
          <w:lang w:val="en-US"/>
        </w:rPr>
        <w:t>-</w:t>
      </w:r>
      <w:r>
        <w:rPr>
          <w:rFonts w:ascii="Times New Roman" w:hAnsi="Times New Roman" w:cs="Times New Roman"/>
          <w:sz w:val="24"/>
          <w:szCs w:val="24"/>
          <w:lang w:val="en-US"/>
        </w:rPr>
        <w:t>stationary. Indeed, ADF test with 12 lags with drift and trend parameters shows that the null hypothesis</w:t>
      </w:r>
      <w:r w:rsidR="00AB7A80">
        <w:rPr>
          <w:rFonts w:ascii="Times New Roman" w:hAnsi="Times New Roman" w:cs="Times New Roman"/>
          <w:sz w:val="24"/>
          <w:szCs w:val="24"/>
          <w:lang w:val="en-US"/>
        </w:rPr>
        <w:t xml:space="preserve"> that there is a unit root cannot</w:t>
      </w:r>
      <w:r>
        <w:rPr>
          <w:rFonts w:ascii="Times New Roman" w:hAnsi="Times New Roman" w:cs="Times New Roman"/>
          <w:sz w:val="24"/>
          <w:szCs w:val="24"/>
          <w:lang w:val="en-US"/>
        </w:rPr>
        <w:t xml:space="preserve"> be rejected at 5% and 10% significance levels. DF-GLS and Philips-Perron tes</w:t>
      </w:r>
      <w:r w:rsidR="00AB7A80">
        <w:rPr>
          <w:rFonts w:ascii="Times New Roman" w:hAnsi="Times New Roman" w:cs="Times New Roman"/>
          <w:sz w:val="24"/>
          <w:szCs w:val="24"/>
          <w:lang w:val="en-US"/>
        </w:rPr>
        <w:t>ts for unit root are resulted with the</w:t>
      </w:r>
      <w:r>
        <w:rPr>
          <w:rFonts w:ascii="Times New Roman" w:hAnsi="Times New Roman" w:cs="Times New Roman"/>
          <w:sz w:val="24"/>
          <w:szCs w:val="24"/>
          <w:lang w:val="en-US"/>
        </w:rPr>
        <w:t xml:space="preserve"> same conclusion, either. Since the data seems to have quadratic deterministic trend,</w:t>
      </w:r>
      <w:r w:rsidR="00AB7A8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lnmpen is de-trended by fitting a quadratic time trend and keeping residuals which are graphed at</w:t>
      </w:r>
      <w:r w:rsidR="00AB7A80">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below in order to make the data stationary. When ADF test with 12 lags wit</w:t>
      </w:r>
      <w:r w:rsidR="00AB7A80">
        <w:rPr>
          <w:rFonts w:ascii="Times New Roman" w:hAnsi="Times New Roman" w:cs="Times New Roman"/>
          <w:sz w:val="24"/>
          <w:szCs w:val="24"/>
          <w:lang w:val="en-US"/>
        </w:rPr>
        <w:t>h drift and trend parameters have been</w:t>
      </w:r>
      <w:r>
        <w:rPr>
          <w:rFonts w:ascii="Times New Roman" w:hAnsi="Times New Roman" w:cs="Times New Roman"/>
          <w:sz w:val="24"/>
          <w:szCs w:val="24"/>
          <w:lang w:val="en-US"/>
        </w:rPr>
        <w:t xml:space="preserve"> applied to new de-trended serie (lnmpen*), absolute value of test statistics (3.567) is slightly larger than Dickey-Fuller critical value (3.445) at 5% significance level. Therefore, we may reject the null hypot</w:t>
      </w:r>
      <w:r w:rsidR="00AB7A80">
        <w:rPr>
          <w:rFonts w:ascii="Times New Roman" w:hAnsi="Times New Roman" w:cs="Times New Roman"/>
          <w:sz w:val="24"/>
          <w:szCs w:val="24"/>
          <w:lang w:val="en-US"/>
        </w:rPr>
        <w:t xml:space="preserve">hesis. On the other hand, </w:t>
      </w:r>
      <w:r>
        <w:rPr>
          <w:rFonts w:ascii="Times New Roman" w:hAnsi="Times New Roman" w:cs="Times New Roman"/>
          <w:sz w:val="24"/>
          <w:szCs w:val="24"/>
          <w:lang w:val="en-US"/>
        </w:rPr>
        <w:t>DF-GLS test confirms that result,</w:t>
      </w:r>
      <w:r w:rsidR="00AB7A80">
        <w:rPr>
          <w:rFonts w:ascii="Times New Roman" w:hAnsi="Times New Roman" w:cs="Times New Roman"/>
          <w:sz w:val="24"/>
          <w:szCs w:val="24"/>
          <w:lang w:val="en-US"/>
        </w:rPr>
        <w:t xml:space="preserve"> while</w:t>
      </w:r>
      <w:r>
        <w:rPr>
          <w:rFonts w:ascii="Times New Roman" w:hAnsi="Times New Roman" w:cs="Times New Roman"/>
          <w:sz w:val="24"/>
          <w:szCs w:val="24"/>
          <w:lang w:val="en-US"/>
        </w:rPr>
        <w:t xml:space="preserve"> Philips-Perron test does not.</w:t>
      </w:r>
      <w:r w:rsidRPr="005F23B9">
        <w:rPr>
          <w:rFonts w:ascii="Times New Roman" w:hAnsi="Times New Roman" w:cs="Times New Roman"/>
          <w:sz w:val="24"/>
          <w:szCs w:val="24"/>
          <w:lang w:val="en-US"/>
        </w:rPr>
        <w:t xml:space="preserve"> </w:t>
      </w:r>
    </w:p>
    <w:p w:rsidR="007A3419" w:rsidRDefault="007A3419" w:rsidP="007A3419">
      <w:pPr>
        <w:spacing w:line="240" w:lineRule="auto"/>
        <w:ind w:firstLine="0"/>
        <w:rPr>
          <w:rFonts w:ascii="Times New Roman" w:hAnsi="Times New Roman" w:cs="Times New Roman"/>
          <w:b/>
          <w:sz w:val="24"/>
          <w:szCs w:val="24"/>
          <w:lang w:val="en-US"/>
        </w:rPr>
      </w:pPr>
    </w:p>
    <w:p w:rsidR="005F23B9" w:rsidRPr="00CD0D5B" w:rsidRDefault="005F23B9" w:rsidP="007A3419">
      <w:p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Graph 2: De-trended Serie of lnmpen (lnmpen*)</w:t>
      </w:r>
    </w:p>
    <w:p w:rsidR="005F23B9" w:rsidRDefault="005F23B9" w:rsidP="005F23B9">
      <w:pPr>
        <w:ind w:firstLine="0"/>
        <w:rPr>
          <w:rFonts w:ascii="Times New Roman" w:hAnsi="Times New Roman" w:cs="Times New Roman"/>
          <w:b/>
          <w:sz w:val="24"/>
          <w:szCs w:val="24"/>
          <w:lang w:val="en-US"/>
        </w:rPr>
      </w:pPr>
      <w:r w:rsidRPr="00D61413">
        <w:rPr>
          <w:rFonts w:ascii="Times New Roman" w:hAnsi="Times New Roman" w:cs="Times New Roman"/>
          <w:b/>
          <w:noProof/>
          <w:sz w:val="24"/>
          <w:szCs w:val="24"/>
          <w:lang w:val="da-DK" w:eastAsia="da-DK"/>
        </w:rPr>
        <w:drawing>
          <wp:inline distT="0" distB="0" distL="0" distR="0">
            <wp:extent cx="3752850" cy="274649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5162" cy="2762828"/>
                    </a:xfrm>
                    <a:prstGeom prst="rect">
                      <a:avLst/>
                    </a:prstGeom>
                    <a:noFill/>
                    <a:ln>
                      <a:noFill/>
                    </a:ln>
                  </pic:spPr>
                </pic:pic>
              </a:graphicData>
            </a:graphic>
          </wp:inline>
        </w:drawing>
      </w:r>
    </w:p>
    <w:p w:rsidR="007A3419" w:rsidRDefault="007A3419" w:rsidP="005F23B9">
      <w:pPr>
        <w:ind w:firstLine="0"/>
        <w:rPr>
          <w:rFonts w:ascii="Times New Roman" w:hAnsi="Times New Roman" w:cs="Times New Roman"/>
          <w:b/>
          <w:sz w:val="24"/>
          <w:szCs w:val="24"/>
          <w:lang w:val="en-US"/>
        </w:rPr>
      </w:pPr>
    </w:p>
    <w:p w:rsidR="00995F69" w:rsidRPr="00B00F71" w:rsidRDefault="004D5315" w:rsidP="00B00F71">
      <w:pPr>
        <w:rPr>
          <w:lang w:val="en-US"/>
        </w:rPr>
      </w:pPr>
      <w:r w:rsidRPr="004D5315">
        <w:rPr>
          <w:lang w:val="en-US"/>
        </w:rPr>
        <w:t>Results</w:t>
      </w:r>
    </w:p>
    <w:p w:rsidR="00747097" w:rsidRDefault="009D51D6"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At implementation stage,</w:t>
      </w:r>
      <w:r w:rsidR="00BC5A96">
        <w:rPr>
          <w:rFonts w:ascii="Times New Roman" w:hAnsi="Times New Roman" w:cs="Times New Roman"/>
          <w:sz w:val="24"/>
          <w:szCs w:val="24"/>
          <w:lang w:val="en-US"/>
        </w:rPr>
        <w:t xml:space="preserve"> ARMA model</w:t>
      </w:r>
      <w:r w:rsidR="00B46403">
        <w:rPr>
          <w:rFonts w:ascii="Times New Roman" w:hAnsi="Times New Roman" w:cs="Times New Roman"/>
          <w:sz w:val="24"/>
          <w:szCs w:val="24"/>
          <w:lang w:val="en-US"/>
        </w:rPr>
        <w:t xml:space="preserve">s with </w:t>
      </w:r>
      <w:r w:rsidR="00FE5420">
        <w:rPr>
          <w:rFonts w:ascii="Times New Roman" w:hAnsi="Times New Roman" w:cs="Times New Roman"/>
          <w:sz w:val="24"/>
          <w:szCs w:val="24"/>
          <w:lang w:val="en-US"/>
        </w:rPr>
        <w:t>good fit have been</w:t>
      </w:r>
      <w:r>
        <w:rPr>
          <w:rFonts w:ascii="Times New Roman" w:hAnsi="Times New Roman" w:cs="Times New Roman"/>
          <w:sz w:val="24"/>
          <w:szCs w:val="24"/>
          <w:lang w:val="en-US"/>
        </w:rPr>
        <w:t xml:space="preserve"> looked for</w:t>
      </w:r>
      <w:r w:rsidR="00BC5A96">
        <w:rPr>
          <w:rFonts w:ascii="Times New Roman" w:hAnsi="Times New Roman" w:cs="Times New Roman"/>
          <w:sz w:val="24"/>
          <w:szCs w:val="24"/>
          <w:lang w:val="en-US"/>
        </w:rPr>
        <w:t xml:space="preserve"> by experimenting different autoregressive and moving average lag components based on the Akaike and </w:t>
      </w:r>
      <w:r w:rsidR="00581C72">
        <w:rPr>
          <w:rFonts w:ascii="Times New Roman" w:hAnsi="Times New Roman" w:cs="Times New Roman"/>
          <w:sz w:val="24"/>
          <w:szCs w:val="24"/>
          <w:lang w:val="en-US"/>
        </w:rPr>
        <w:t xml:space="preserve">the </w:t>
      </w:r>
      <w:r w:rsidR="003717D4">
        <w:rPr>
          <w:rFonts w:ascii="Times New Roman" w:hAnsi="Times New Roman" w:cs="Times New Roman"/>
          <w:sz w:val="24"/>
          <w:szCs w:val="24"/>
          <w:lang w:val="en-US"/>
        </w:rPr>
        <w:t>Bayesian information</w:t>
      </w:r>
      <w:r w:rsidR="00BC5A96">
        <w:rPr>
          <w:rFonts w:ascii="Times New Roman" w:hAnsi="Times New Roman" w:cs="Times New Roman"/>
          <w:sz w:val="24"/>
          <w:szCs w:val="24"/>
          <w:lang w:val="en-US"/>
        </w:rPr>
        <w:t xml:space="preserve"> criterions. End results show that </w:t>
      </w:r>
      <w:r w:rsidR="004918C2">
        <w:rPr>
          <w:rFonts w:ascii="Times New Roman" w:hAnsi="Times New Roman" w:cs="Times New Roman"/>
          <w:sz w:val="24"/>
          <w:szCs w:val="24"/>
          <w:lang w:val="en-US"/>
        </w:rPr>
        <w:t xml:space="preserve">several combinations of </w:t>
      </w:r>
      <w:r w:rsidR="00BC5A96">
        <w:rPr>
          <w:rFonts w:ascii="Times New Roman" w:hAnsi="Times New Roman" w:cs="Times New Roman"/>
          <w:sz w:val="24"/>
          <w:szCs w:val="24"/>
          <w:lang w:val="en-US"/>
        </w:rPr>
        <w:t xml:space="preserve">ARMA models with </w:t>
      </w:r>
      <w:r w:rsidR="00581C72">
        <w:rPr>
          <w:rFonts w:ascii="Times New Roman" w:hAnsi="Times New Roman" w:cs="Times New Roman"/>
          <w:sz w:val="24"/>
          <w:szCs w:val="24"/>
          <w:lang w:val="en-US"/>
        </w:rPr>
        <w:t>lags</w:t>
      </w:r>
      <w:r w:rsidR="00BC5A96">
        <w:rPr>
          <w:rFonts w:ascii="Times New Roman" w:hAnsi="Times New Roman" w:cs="Times New Roman"/>
          <w:sz w:val="24"/>
          <w:szCs w:val="24"/>
          <w:lang w:val="en-US"/>
        </w:rPr>
        <w:t xml:space="preserve"> </w:t>
      </w:r>
      <w:r>
        <w:rPr>
          <w:rFonts w:ascii="Times New Roman" w:hAnsi="Times New Roman" w:cs="Times New Roman"/>
          <w:sz w:val="24"/>
          <w:szCs w:val="24"/>
          <w:lang w:val="en-US"/>
        </w:rPr>
        <w:t>of autoregressive components (1 2 3</w:t>
      </w:r>
      <w:r w:rsidR="00581C72">
        <w:rPr>
          <w:rFonts w:ascii="Times New Roman" w:hAnsi="Times New Roman" w:cs="Times New Roman"/>
          <w:sz w:val="24"/>
          <w:szCs w:val="24"/>
          <w:lang w:val="en-US"/>
        </w:rPr>
        <w:t>)</w:t>
      </w:r>
      <w:r w:rsidR="004918C2">
        <w:rPr>
          <w:rFonts w:ascii="Times New Roman" w:hAnsi="Times New Roman" w:cs="Times New Roman"/>
          <w:sz w:val="24"/>
          <w:szCs w:val="24"/>
          <w:lang w:val="en-US"/>
        </w:rPr>
        <w:t xml:space="preserve"> and</w:t>
      </w:r>
      <w:r w:rsidR="000E12D5">
        <w:rPr>
          <w:rFonts w:ascii="Times New Roman" w:hAnsi="Times New Roman" w:cs="Times New Roman"/>
          <w:sz w:val="24"/>
          <w:szCs w:val="24"/>
          <w:lang w:val="en-US"/>
        </w:rPr>
        <w:t xml:space="preserve"> moving average components (1 2 3</w:t>
      </w:r>
      <w:r w:rsidR="004918C2">
        <w:rPr>
          <w:rFonts w:ascii="Times New Roman" w:hAnsi="Times New Roman" w:cs="Times New Roman"/>
          <w:sz w:val="24"/>
          <w:szCs w:val="24"/>
          <w:lang w:val="en-US"/>
        </w:rPr>
        <w:t>)</w:t>
      </w:r>
      <w:r w:rsidR="00581C72">
        <w:rPr>
          <w:rFonts w:ascii="Times New Roman" w:hAnsi="Times New Roman" w:cs="Times New Roman"/>
          <w:sz w:val="24"/>
          <w:szCs w:val="24"/>
          <w:lang w:val="en-US"/>
        </w:rPr>
        <w:t xml:space="preserve"> may be potential candidates. </w:t>
      </w:r>
      <w:r w:rsidR="006A7D5B">
        <w:rPr>
          <w:rFonts w:ascii="Times New Roman" w:hAnsi="Times New Roman" w:cs="Times New Roman"/>
          <w:sz w:val="24"/>
          <w:szCs w:val="24"/>
          <w:lang w:val="en-US"/>
        </w:rPr>
        <w:t xml:space="preserve">More formal </w:t>
      </w:r>
      <w:r w:rsidR="00355727">
        <w:rPr>
          <w:rFonts w:ascii="Times New Roman" w:hAnsi="Times New Roman" w:cs="Times New Roman"/>
          <w:sz w:val="24"/>
          <w:szCs w:val="24"/>
          <w:lang w:val="en-US"/>
        </w:rPr>
        <w:t>expressions are as followed:</w:t>
      </w:r>
    </w:p>
    <w:p w:rsidR="006A7D5B" w:rsidRDefault="006A7D5B"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Model 1:</w:t>
      </w:r>
    </w:p>
    <w:p w:rsidR="006A7D5B" w:rsidRPr="00B46403" w:rsidRDefault="00943E23" w:rsidP="007A3419">
      <w:pPr>
        <w:spacing w:line="240" w:lineRule="auto"/>
        <w:ind w:firstLine="0"/>
        <w:rPr>
          <w:rFonts w:ascii="Times New Roman" w:hAnsi="Times New Roman" w:cs="Times New Roman"/>
          <w:b/>
          <w:sz w:val="22"/>
          <w:szCs w:val="22"/>
          <w:lang w:val="en-US"/>
        </w:rPr>
      </w:pPr>
      <m:oMathPara>
        <m:oMathParaPr>
          <m:jc m:val="left"/>
        </m:oMathParaPr>
        <m:oMath>
          <m:sSub>
            <m:sSubPr>
              <m:ctrlPr>
                <w:rPr>
                  <w:rFonts w:ascii="Cambria Math" w:hAnsi="Cambria Math" w:cs="Times New Roman"/>
                  <w:i/>
                  <w:sz w:val="22"/>
                  <w:szCs w:val="22"/>
                  <w:lang w:val="en-US"/>
                </w:rPr>
              </m:ctrlPr>
            </m:sSubPr>
            <m:e>
              <m:r>
                <w:rPr>
                  <w:rFonts w:ascii="Cambria Math" w:hAnsi="Cambria Math" w:cs="Times New Roman"/>
                  <w:sz w:val="22"/>
                  <w:szCs w:val="22"/>
                  <w:lang w:val="en-US"/>
                </w:rPr>
                <m:t>lnmpen*</m:t>
              </m:r>
            </m:e>
            <m:sub>
              <m:r>
                <w:rPr>
                  <w:rFonts w:ascii="Cambria Math" w:hAnsi="Cambria Math" w:cs="Times New Roman"/>
                  <w:sz w:val="22"/>
                  <w:szCs w:val="22"/>
                  <w:lang w:val="en-US"/>
                </w:rPr>
                <m:t>t</m:t>
              </m:r>
            </m:sub>
          </m:sSub>
          <m:r>
            <m:rPr>
              <m:sty m:val="bi"/>
            </m:rPr>
            <w:rPr>
              <w:rFonts w:ascii="Cambria Math" w:hAnsi="Cambria Math" w:cs="Times New Roman"/>
              <w:sz w:val="22"/>
              <w:szCs w:val="22"/>
              <w:lang w:val="en-US"/>
            </w:rPr>
            <m:t xml:space="preserve"> =</m:t>
          </m:r>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α</m:t>
              </m:r>
            </m:e>
            <m:sub>
              <m:r>
                <m:rPr>
                  <m:sty m:val="bi"/>
                </m:rPr>
                <w:rPr>
                  <w:rFonts w:ascii="Cambria Math" w:hAnsi="Cambria Math" w:cs="Times New Roman"/>
                  <w:sz w:val="22"/>
                  <w:szCs w:val="22"/>
                  <w:lang w:val="en-US"/>
                </w:rPr>
                <m:t>0</m:t>
              </m:r>
            </m:sub>
          </m:sSub>
          <m:r>
            <m:rPr>
              <m:sty m:val="bi"/>
            </m:rPr>
            <w:rPr>
              <w:rFonts w:ascii="Cambria Math" w:hAnsi="Cambria Math" w:cs="Times New Roman"/>
              <w:sz w:val="22"/>
              <w:szCs w:val="22"/>
              <w:lang w:val="en-US"/>
            </w:rPr>
            <m:t xml:space="preserve">+ </m:t>
          </m:r>
          <m:sSub>
            <m:sSubPr>
              <m:ctrlPr>
                <w:rPr>
                  <w:rFonts w:ascii="Cambria Math" w:hAnsi="Cambria Math" w:cs="Times New Roman"/>
                  <w:i/>
                  <w:sz w:val="22"/>
                  <w:szCs w:val="22"/>
                  <w:lang w:val="en-US"/>
                </w:rPr>
              </m:ctrlPr>
            </m:sSubPr>
            <m:e>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β</m:t>
                  </m:r>
                </m:e>
                <m:sub>
                  <m:r>
                    <m:rPr>
                      <m:sty m:val="bi"/>
                    </m:rPr>
                    <w:rPr>
                      <w:rFonts w:ascii="Cambria Math" w:hAnsi="Cambria Math" w:cs="Times New Roman"/>
                      <w:sz w:val="22"/>
                      <w:szCs w:val="22"/>
                      <w:lang w:val="en-US"/>
                    </w:rPr>
                    <m:t>1</m:t>
                  </m:r>
                </m:sub>
              </m:sSub>
              <m:r>
                <m:rPr>
                  <m:sty m:val="bi"/>
                </m:rPr>
                <w:rPr>
                  <w:rFonts w:ascii="Cambria Math" w:hAnsi="Cambria Math" w:cs="Times New Roman"/>
                  <w:sz w:val="22"/>
                  <w:szCs w:val="22"/>
                  <w:lang w:val="en-US"/>
                </w:rPr>
                <m:t>lnmpen*</m:t>
              </m:r>
            </m:e>
            <m:sub>
              <m:r>
                <m:rPr>
                  <m:sty m:val="bi"/>
                </m:rPr>
                <w:rPr>
                  <w:rFonts w:ascii="Cambria Math" w:hAnsi="Cambria Math" w:cs="Times New Roman"/>
                  <w:sz w:val="22"/>
                  <w:szCs w:val="22"/>
                  <w:lang w:val="en-US"/>
                </w:rPr>
                <m:t>t-1</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β</m:t>
                  </m:r>
                </m:e>
                <m:sub>
                  <m:r>
                    <m:rPr>
                      <m:sty m:val="bi"/>
                    </m:rPr>
                    <w:rPr>
                      <w:rFonts w:ascii="Cambria Math" w:hAnsi="Cambria Math" w:cs="Times New Roman"/>
                      <w:sz w:val="22"/>
                      <w:szCs w:val="22"/>
                      <w:lang w:val="en-US"/>
                    </w:rPr>
                    <m:t>2</m:t>
                  </m:r>
                </m:sub>
              </m:sSub>
              <m:r>
                <m:rPr>
                  <m:sty m:val="bi"/>
                </m:rPr>
                <w:rPr>
                  <w:rFonts w:ascii="Cambria Math" w:hAnsi="Cambria Math" w:cs="Times New Roman"/>
                  <w:sz w:val="22"/>
                  <w:szCs w:val="22"/>
                  <w:lang w:val="en-US"/>
                </w:rPr>
                <m:t>lnmpen*</m:t>
              </m:r>
            </m:e>
            <m:sub>
              <m:r>
                <m:rPr>
                  <m:sty m:val="bi"/>
                </m:rPr>
                <w:rPr>
                  <w:rFonts w:ascii="Cambria Math" w:hAnsi="Cambria Math" w:cs="Times New Roman"/>
                  <w:sz w:val="22"/>
                  <w:szCs w:val="22"/>
                  <w:lang w:val="en-US"/>
                </w:rPr>
                <m:t>t-2</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w:rPr>
                  <w:rFonts w:ascii="Cambria Math" w:hAnsi="Cambria Math" w:cs="Times New Roman"/>
                  <w:sz w:val="22"/>
                  <w:szCs w:val="22"/>
                  <w:lang w:val="en-US"/>
                </w:rPr>
                <m:t>ε</m:t>
              </m:r>
            </m:e>
            <m:sub>
              <m:r>
                <w:rPr>
                  <w:rFonts w:ascii="Cambria Math" w:hAnsi="Cambria Math" w:cs="Times New Roman"/>
                  <w:sz w:val="22"/>
                  <w:szCs w:val="22"/>
                  <w:lang w:val="en-US"/>
                </w:rPr>
                <m:t>t</m:t>
              </m:r>
            </m:sub>
          </m:sSub>
          <m:r>
            <m:rPr>
              <m:sty m:val="bi"/>
            </m:rPr>
            <w:rPr>
              <w:rFonts w:ascii="Cambria Math" w:hAnsi="Cambria Math" w:cs="Times New Roman"/>
              <w:sz w:val="22"/>
              <w:szCs w:val="22"/>
              <w:lang w:val="en-US"/>
            </w:rPr>
            <m:t xml:space="preserve"> </m:t>
          </m:r>
        </m:oMath>
      </m:oMathPara>
    </w:p>
    <w:p w:rsidR="006A7D5B" w:rsidRDefault="006A7D5B"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Model 2:</w:t>
      </w:r>
    </w:p>
    <w:p w:rsidR="006A7D5B" w:rsidRPr="00B46403" w:rsidRDefault="00943E23" w:rsidP="007A3419">
      <w:pPr>
        <w:spacing w:line="240" w:lineRule="auto"/>
        <w:ind w:firstLine="0"/>
        <w:rPr>
          <w:rFonts w:ascii="Times New Roman" w:hAnsi="Times New Roman" w:cs="Times New Roman"/>
          <w:b/>
          <w:sz w:val="22"/>
          <w:szCs w:val="22"/>
          <w:lang w:val="en-US"/>
        </w:rPr>
      </w:pPr>
      <m:oMathPara>
        <m:oMathParaPr>
          <m:jc m:val="left"/>
        </m:oMathParaPr>
        <m:oMath>
          <m:sSub>
            <m:sSubPr>
              <m:ctrlPr>
                <w:rPr>
                  <w:rFonts w:ascii="Cambria Math" w:hAnsi="Cambria Math" w:cs="Times New Roman"/>
                  <w:i/>
                  <w:sz w:val="22"/>
                  <w:szCs w:val="22"/>
                  <w:lang w:val="en-US"/>
                </w:rPr>
              </m:ctrlPr>
            </m:sSubPr>
            <m:e>
              <m:r>
                <w:rPr>
                  <w:rFonts w:ascii="Cambria Math" w:hAnsi="Cambria Math" w:cs="Times New Roman"/>
                  <w:sz w:val="22"/>
                  <w:szCs w:val="22"/>
                  <w:lang w:val="en-US"/>
                </w:rPr>
                <m:t>lnmpen*</m:t>
              </m:r>
            </m:e>
            <m:sub>
              <m:r>
                <w:rPr>
                  <w:rFonts w:ascii="Cambria Math" w:hAnsi="Cambria Math" w:cs="Times New Roman"/>
                  <w:sz w:val="22"/>
                  <w:szCs w:val="22"/>
                  <w:lang w:val="en-US"/>
                </w:rPr>
                <m:t>t</m:t>
              </m:r>
            </m:sub>
          </m:sSub>
          <m:r>
            <m:rPr>
              <m:sty m:val="bi"/>
            </m:rPr>
            <w:rPr>
              <w:rFonts w:ascii="Cambria Math" w:hAnsi="Cambria Math" w:cs="Times New Roman"/>
              <w:sz w:val="22"/>
              <w:szCs w:val="22"/>
              <w:lang w:val="en-US"/>
            </w:rPr>
            <m:t xml:space="preserve"> =</m:t>
          </m:r>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α</m:t>
              </m:r>
            </m:e>
            <m:sub>
              <m:r>
                <m:rPr>
                  <m:sty m:val="bi"/>
                </m:rPr>
                <w:rPr>
                  <w:rFonts w:ascii="Cambria Math" w:hAnsi="Cambria Math" w:cs="Times New Roman"/>
                  <w:sz w:val="22"/>
                  <w:szCs w:val="22"/>
                  <w:lang w:val="en-US"/>
                </w:rPr>
                <m:t>0</m:t>
              </m:r>
            </m:sub>
          </m:sSub>
          <m:r>
            <m:rPr>
              <m:sty m:val="bi"/>
            </m:rPr>
            <w:rPr>
              <w:rFonts w:ascii="Cambria Math" w:hAnsi="Cambria Math" w:cs="Times New Roman"/>
              <w:sz w:val="22"/>
              <w:szCs w:val="22"/>
              <w:lang w:val="en-US"/>
            </w:rPr>
            <m:t xml:space="preserve">+ </m:t>
          </m:r>
          <m:sSub>
            <m:sSubPr>
              <m:ctrlPr>
                <w:rPr>
                  <w:rFonts w:ascii="Cambria Math" w:hAnsi="Cambria Math" w:cs="Times New Roman"/>
                  <w:i/>
                  <w:sz w:val="22"/>
                  <w:szCs w:val="22"/>
                  <w:lang w:val="en-US"/>
                </w:rPr>
              </m:ctrlPr>
            </m:sSubPr>
            <m:e>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β</m:t>
                  </m:r>
                </m:e>
                <m:sub>
                  <m:r>
                    <m:rPr>
                      <m:sty m:val="bi"/>
                    </m:rPr>
                    <w:rPr>
                      <w:rFonts w:ascii="Cambria Math" w:hAnsi="Cambria Math" w:cs="Times New Roman"/>
                      <w:sz w:val="22"/>
                      <w:szCs w:val="22"/>
                      <w:lang w:val="en-US"/>
                    </w:rPr>
                    <m:t>1</m:t>
                  </m:r>
                </m:sub>
              </m:sSub>
              <m:r>
                <m:rPr>
                  <m:sty m:val="bi"/>
                </m:rPr>
                <w:rPr>
                  <w:rFonts w:ascii="Cambria Math" w:hAnsi="Cambria Math" w:cs="Times New Roman"/>
                  <w:sz w:val="22"/>
                  <w:szCs w:val="22"/>
                  <w:lang w:val="en-US"/>
                </w:rPr>
                <m:t>lnmpen*</m:t>
              </m:r>
            </m:e>
            <m:sub>
              <m:r>
                <m:rPr>
                  <m:sty m:val="bi"/>
                </m:rPr>
                <w:rPr>
                  <w:rFonts w:ascii="Cambria Math" w:hAnsi="Cambria Math" w:cs="Times New Roman"/>
                  <w:sz w:val="22"/>
                  <w:szCs w:val="22"/>
                  <w:lang w:val="en-US"/>
                </w:rPr>
                <m:t>t-1</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β</m:t>
                  </m:r>
                </m:e>
                <m:sub>
                  <m:r>
                    <m:rPr>
                      <m:sty m:val="bi"/>
                    </m:rPr>
                    <w:rPr>
                      <w:rFonts w:ascii="Cambria Math" w:hAnsi="Cambria Math" w:cs="Times New Roman"/>
                      <w:sz w:val="22"/>
                      <w:szCs w:val="22"/>
                      <w:lang w:val="en-US"/>
                    </w:rPr>
                    <m:t>2</m:t>
                  </m:r>
                </m:sub>
              </m:sSub>
              <m:r>
                <m:rPr>
                  <m:sty m:val="bi"/>
                </m:rPr>
                <w:rPr>
                  <w:rFonts w:ascii="Cambria Math" w:hAnsi="Cambria Math" w:cs="Times New Roman"/>
                  <w:sz w:val="22"/>
                  <w:szCs w:val="22"/>
                  <w:lang w:val="en-US"/>
                </w:rPr>
                <m:t>lnmpen*</m:t>
              </m:r>
            </m:e>
            <m:sub>
              <m:r>
                <m:rPr>
                  <m:sty m:val="bi"/>
                </m:rPr>
                <w:rPr>
                  <w:rFonts w:ascii="Cambria Math" w:hAnsi="Cambria Math" w:cs="Times New Roman"/>
                  <w:sz w:val="22"/>
                  <w:szCs w:val="22"/>
                  <w:lang w:val="en-US"/>
                </w:rPr>
                <m:t>t-2</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β</m:t>
                  </m:r>
                </m:e>
                <m:sub>
                  <m:r>
                    <m:rPr>
                      <m:sty m:val="bi"/>
                    </m:rPr>
                    <w:rPr>
                      <w:rFonts w:ascii="Cambria Math" w:hAnsi="Cambria Math" w:cs="Times New Roman"/>
                      <w:sz w:val="22"/>
                      <w:szCs w:val="22"/>
                      <w:lang w:val="en-US"/>
                    </w:rPr>
                    <m:t>3</m:t>
                  </m:r>
                </m:sub>
              </m:sSub>
              <m:r>
                <m:rPr>
                  <m:sty m:val="bi"/>
                </m:rPr>
                <w:rPr>
                  <w:rFonts w:ascii="Cambria Math" w:hAnsi="Cambria Math" w:cs="Times New Roman"/>
                  <w:sz w:val="22"/>
                  <w:szCs w:val="22"/>
                  <w:lang w:val="en-US"/>
                </w:rPr>
                <m:t>lnmpen*</m:t>
              </m:r>
            </m:e>
            <m:sub>
              <m:r>
                <m:rPr>
                  <m:sty m:val="bi"/>
                </m:rPr>
                <w:rPr>
                  <w:rFonts w:ascii="Cambria Math" w:hAnsi="Cambria Math" w:cs="Times New Roman"/>
                  <w:sz w:val="22"/>
                  <w:szCs w:val="22"/>
                  <w:lang w:val="en-US"/>
                </w:rPr>
                <m:t>t-3</m:t>
              </m:r>
            </m:sub>
          </m:sSub>
          <m: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w:rPr>
                  <w:rFonts w:ascii="Cambria Math" w:hAnsi="Cambria Math" w:cs="Times New Roman"/>
                  <w:sz w:val="22"/>
                  <w:szCs w:val="22"/>
                  <w:lang w:val="en-US"/>
                </w:rPr>
                <m:t>ϵ</m:t>
              </m:r>
            </m:e>
            <m:sub>
              <m:r>
                <w:rPr>
                  <w:rFonts w:ascii="Cambria Math" w:hAnsi="Cambria Math" w:cs="Times New Roman"/>
                  <w:sz w:val="22"/>
                  <w:szCs w:val="22"/>
                  <w:lang w:val="en-US"/>
                </w:rPr>
                <m:t>t</m:t>
              </m:r>
            </m:sub>
          </m:sSub>
          <m:r>
            <m:rPr>
              <m:sty m:val="bi"/>
            </m:rPr>
            <w:rPr>
              <w:rFonts w:ascii="Cambria Math" w:hAnsi="Cambria Math" w:cs="Times New Roman"/>
              <w:sz w:val="22"/>
              <w:szCs w:val="22"/>
              <w:lang w:val="en-US"/>
            </w:rPr>
            <m:t xml:space="preserve"> </m:t>
          </m:r>
        </m:oMath>
      </m:oMathPara>
    </w:p>
    <w:p w:rsidR="006A7D5B" w:rsidRDefault="006A7D5B"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Model 3:</w:t>
      </w:r>
    </w:p>
    <w:p w:rsidR="006A7D5B" w:rsidRPr="00B46403" w:rsidRDefault="00943E23" w:rsidP="007A3419">
      <w:pPr>
        <w:spacing w:line="240" w:lineRule="auto"/>
        <w:ind w:firstLine="0"/>
        <w:rPr>
          <w:rFonts w:ascii="Times New Roman" w:hAnsi="Times New Roman" w:cs="Times New Roman"/>
          <w:b/>
          <w:sz w:val="22"/>
          <w:szCs w:val="22"/>
          <w:lang w:val="en-US"/>
        </w:rPr>
      </w:pPr>
      <m:oMathPara>
        <m:oMathParaPr>
          <m:jc m:val="left"/>
        </m:oMathParaPr>
        <m:oMath>
          <m:sSub>
            <m:sSubPr>
              <m:ctrlPr>
                <w:rPr>
                  <w:rFonts w:ascii="Cambria Math" w:hAnsi="Cambria Math" w:cs="Times New Roman"/>
                  <w:i/>
                  <w:sz w:val="22"/>
                  <w:szCs w:val="22"/>
                  <w:lang w:val="en-US"/>
                </w:rPr>
              </m:ctrlPr>
            </m:sSubPr>
            <m:e>
              <m:r>
                <w:rPr>
                  <w:rFonts w:ascii="Cambria Math" w:hAnsi="Cambria Math" w:cs="Times New Roman"/>
                  <w:sz w:val="22"/>
                  <w:szCs w:val="22"/>
                  <w:lang w:val="en-US"/>
                </w:rPr>
                <m:t>lnmpen*</m:t>
              </m:r>
            </m:e>
            <m:sub>
              <m:r>
                <w:rPr>
                  <w:rFonts w:ascii="Cambria Math" w:hAnsi="Cambria Math" w:cs="Times New Roman"/>
                  <w:sz w:val="22"/>
                  <w:szCs w:val="22"/>
                  <w:lang w:val="en-US"/>
                </w:rPr>
                <m:t>t</m:t>
              </m:r>
            </m:sub>
          </m:sSub>
          <m:r>
            <w:rPr>
              <w:rFonts w:ascii="Cambria Math" w:hAnsi="Cambria Math" w:cs="Times New Roman"/>
              <w:sz w:val="22"/>
              <w:szCs w:val="22"/>
              <w:lang w:val="en-US"/>
            </w:rPr>
            <m:t xml:space="preserve"> </m:t>
          </m:r>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α</m:t>
              </m:r>
            </m:e>
            <m:sub>
              <m:r>
                <m:rPr>
                  <m:sty m:val="bi"/>
                </m:rPr>
                <w:rPr>
                  <w:rFonts w:ascii="Cambria Math" w:hAnsi="Cambria Math" w:cs="Times New Roman"/>
                  <w:sz w:val="22"/>
                  <w:szCs w:val="22"/>
                  <w:lang w:val="en-US"/>
                </w:rPr>
                <m:t>0</m:t>
              </m:r>
            </m:sub>
          </m:sSub>
          <m:r>
            <m:rPr>
              <m:sty m:val="bi"/>
            </m:rPr>
            <w:rPr>
              <w:rFonts w:ascii="Cambria Math" w:hAnsi="Cambria Math" w:cs="Times New Roman"/>
              <w:sz w:val="22"/>
              <w:szCs w:val="22"/>
              <w:lang w:val="en-US"/>
            </w:rPr>
            <m:t xml:space="preserve">+ </m:t>
          </m:r>
          <m:sSub>
            <m:sSubPr>
              <m:ctrlPr>
                <w:rPr>
                  <w:rFonts w:ascii="Cambria Math" w:hAnsi="Cambria Math" w:cs="Times New Roman"/>
                  <w:i/>
                  <w:sz w:val="22"/>
                  <w:szCs w:val="22"/>
                  <w:lang w:val="en-US"/>
                </w:rPr>
              </m:ctrlPr>
            </m:sSubPr>
            <m:e>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β</m:t>
                  </m:r>
                </m:e>
                <m:sub>
                  <m:r>
                    <m:rPr>
                      <m:sty m:val="bi"/>
                    </m:rPr>
                    <w:rPr>
                      <w:rFonts w:ascii="Cambria Math" w:hAnsi="Cambria Math" w:cs="Times New Roman"/>
                      <w:sz w:val="22"/>
                      <w:szCs w:val="22"/>
                      <w:lang w:val="en-US"/>
                    </w:rPr>
                    <m:t>1</m:t>
                  </m:r>
                </m:sub>
              </m:sSub>
              <m:r>
                <m:rPr>
                  <m:sty m:val="bi"/>
                </m:rPr>
                <w:rPr>
                  <w:rFonts w:ascii="Cambria Math" w:hAnsi="Cambria Math" w:cs="Times New Roman"/>
                  <w:sz w:val="22"/>
                  <w:szCs w:val="22"/>
                  <w:lang w:val="en-US"/>
                </w:rPr>
                <m:t>lnmpen*</m:t>
              </m:r>
            </m:e>
            <m:sub>
              <m:r>
                <m:rPr>
                  <m:sty m:val="bi"/>
                </m:rPr>
                <w:rPr>
                  <w:rFonts w:ascii="Cambria Math" w:hAnsi="Cambria Math" w:cs="Times New Roman"/>
                  <w:sz w:val="22"/>
                  <w:szCs w:val="22"/>
                  <w:lang w:val="en-US"/>
                </w:rPr>
                <m:t>t-1</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β</m:t>
                  </m:r>
                </m:e>
                <m:sub>
                  <m:r>
                    <m:rPr>
                      <m:sty m:val="bi"/>
                    </m:rPr>
                    <w:rPr>
                      <w:rFonts w:ascii="Cambria Math" w:hAnsi="Cambria Math" w:cs="Times New Roman"/>
                      <w:sz w:val="22"/>
                      <w:szCs w:val="22"/>
                      <w:lang w:val="en-US"/>
                    </w:rPr>
                    <m:t>2</m:t>
                  </m:r>
                </m:sub>
              </m:sSub>
              <m:r>
                <m:rPr>
                  <m:sty m:val="bi"/>
                </m:rPr>
                <w:rPr>
                  <w:rFonts w:ascii="Cambria Math" w:hAnsi="Cambria Math" w:cs="Times New Roman"/>
                  <w:sz w:val="22"/>
                  <w:szCs w:val="22"/>
                  <w:lang w:val="en-US"/>
                </w:rPr>
                <m:t>lnmpen*</m:t>
              </m:r>
            </m:e>
            <m:sub>
              <m:r>
                <m:rPr>
                  <m:sty m:val="bi"/>
                </m:rPr>
                <w:rPr>
                  <w:rFonts w:ascii="Cambria Math" w:hAnsi="Cambria Math" w:cs="Times New Roman"/>
                  <w:sz w:val="22"/>
                  <w:szCs w:val="22"/>
                  <w:lang w:val="en-US"/>
                </w:rPr>
                <m:t>t-2</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γ</m:t>
              </m:r>
            </m:e>
            <m:sub>
              <m:r>
                <m:rPr>
                  <m:sty m:val="bi"/>
                </m:rPr>
                <w:rPr>
                  <w:rFonts w:ascii="Cambria Math" w:hAnsi="Cambria Math" w:cs="Times New Roman"/>
                  <w:sz w:val="22"/>
                  <w:szCs w:val="22"/>
                  <w:lang w:val="en-US"/>
                </w:rPr>
                <m:t>1</m:t>
              </m:r>
            </m:sub>
          </m:sSub>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ε</m:t>
              </m:r>
            </m:e>
            <m:sub>
              <m:r>
                <m:rPr>
                  <m:sty m:val="bi"/>
                </m:rPr>
                <w:rPr>
                  <w:rFonts w:ascii="Cambria Math" w:hAnsi="Cambria Math" w:cs="Times New Roman"/>
                  <w:sz w:val="22"/>
                  <w:szCs w:val="22"/>
                  <w:lang w:val="en-US"/>
                </w:rPr>
                <m:t>t-1</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w:rPr>
                  <w:rFonts w:ascii="Cambria Math" w:hAnsi="Cambria Math" w:cs="Times New Roman"/>
                  <w:sz w:val="22"/>
                  <w:szCs w:val="22"/>
                  <w:lang w:val="en-US"/>
                </w:rPr>
                <m:t>ε</m:t>
              </m:r>
            </m:e>
            <m:sub>
              <m:r>
                <w:rPr>
                  <w:rFonts w:ascii="Cambria Math" w:hAnsi="Cambria Math" w:cs="Times New Roman"/>
                  <w:sz w:val="22"/>
                  <w:szCs w:val="22"/>
                  <w:lang w:val="en-US"/>
                </w:rPr>
                <m:t>t</m:t>
              </m:r>
            </m:sub>
          </m:sSub>
          <m:r>
            <m:rPr>
              <m:sty m:val="bi"/>
            </m:rPr>
            <w:rPr>
              <w:rFonts w:ascii="Cambria Math" w:hAnsi="Cambria Math" w:cs="Times New Roman"/>
              <w:sz w:val="22"/>
              <w:szCs w:val="22"/>
              <w:lang w:val="en-US"/>
            </w:rPr>
            <m:t xml:space="preserve"> </m:t>
          </m:r>
        </m:oMath>
      </m:oMathPara>
    </w:p>
    <w:p w:rsidR="006A7D5B" w:rsidRPr="00B46403" w:rsidRDefault="006A7D5B" w:rsidP="007A3419">
      <w:pPr>
        <w:spacing w:line="240" w:lineRule="auto"/>
        <w:ind w:firstLine="0"/>
        <w:rPr>
          <w:rFonts w:ascii="Times New Roman" w:hAnsi="Times New Roman" w:cs="Times New Roman"/>
          <w:b/>
          <w:sz w:val="24"/>
          <w:szCs w:val="24"/>
          <w:lang w:val="en-US"/>
        </w:rPr>
      </w:pPr>
      <w:r w:rsidRPr="00B46403">
        <w:rPr>
          <w:rFonts w:ascii="Times New Roman" w:hAnsi="Times New Roman" w:cs="Times New Roman"/>
          <w:sz w:val="24"/>
          <w:szCs w:val="24"/>
          <w:lang w:val="en-US"/>
        </w:rPr>
        <w:t>Model 4:</w:t>
      </w:r>
    </w:p>
    <w:p w:rsidR="006A7D5B" w:rsidRPr="00B46403" w:rsidRDefault="00943E23" w:rsidP="007A3419">
      <w:pPr>
        <w:spacing w:line="240" w:lineRule="auto"/>
        <w:ind w:firstLine="0"/>
        <w:rPr>
          <w:rFonts w:ascii="Times New Roman" w:hAnsi="Times New Roman" w:cs="Times New Roman"/>
          <w:b/>
          <w:sz w:val="22"/>
          <w:szCs w:val="22"/>
          <w:lang w:val="en-US"/>
        </w:rPr>
      </w:pPr>
      <m:oMathPara>
        <m:oMathParaPr>
          <m:jc m:val="left"/>
        </m:oMathParaPr>
        <m:oMath>
          <m:sSub>
            <m:sSubPr>
              <m:ctrlPr>
                <w:rPr>
                  <w:rFonts w:ascii="Cambria Math" w:hAnsi="Cambria Math" w:cs="Times New Roman"/>
                  <w:i/>
                  <w:sz w:val="22"/>
                  <w:szCs w:val="22"/>
                  <w:lang w:val="en-US"/>
                </w:rPr>
              </m:ctrlPr>
            </m:sSubPr>
            <m:e>
              <m:r>
                <w:rPr>
                  <w:rFonts w:ascii="Cambria Math" w:hAnsi="Cambria Math" w:cs="Times New Roman"/>
                  <w:sz w:val="22"/>
                  <w:szCs w:val="22"/>
                  <w:lang w:val="en-US"/>
                </w:rPr>
                <m:t>lnmpen*</m:t>
              </m:r>
            </m:e>
            <m:sub>
              <m:r>
                <w:rPr>
                  <w:rFonts w:ascii="Cambria Math" w:hAnsi="Cambria Math" w:cs="Times New Roman"/>
                  <w:sz w:val="22"/>
                  <w:szCs w:val="22"/>
                  <w:lang w:val="en-US"/>
                </w:rPr>
                <m:t>t</m:t>
              </m:r>
            </m:sub>
          </m:sSub>
          <m:r>
            <w:rPr>
              <w:rFonts w:ascii="Cambria Math" w:hAnsi="Cambria Math" w:cs="Times New Roman"/>
              <w:sz w:val="22"/>
              <w:szCs w:val="22"/>
              <w:lang w:val="en-US"/>
            </w:rPr>
            <m:t xml:space="preserve"> </m:t>
          </m:r>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α</m:t>
              </m:r>
            </m:e>
            <m:sub>
              <m:r>
                <m:rPr>
                  <m:sty m:val="bi"/>
                </m:rPr>
                <w:rPr>
                  <w:rFonts w:ascii="Cambria Math" w:hAnsi="Cambria Math" w:cs="Times New Roman"/>
                  <w:sz w:val="22"/>
                  <w:szCs w:val="22"/>
                  <w:lang w:val="en-US"/>
                </w:rPr>
                <m:t>0</m:t>
              </m:r>
            </m:sub>
          </m:sSub>
          <m:r>
            <m:rPr>
              <m:sty m:val="bi"/>
            </m:rPr>
            <w:rPr>
              <w:rFonts w:ascii="Cambria Math" w:hAnsi="Cambria Math" w:cs="Times New Roman"/>
              <w:sz w:val="22"/>
              <w:szCs w:val="22"/>
              <w:lang w:val="en-US"/>
            </w:rPr>
            <m:t xml:space="preserve">+ </m:t>
          </m:r>
          <m:sSub>
            <m:sSubPr>
              <m:ctrlPr>
                <w:rPr>
                  <w:rFonts w:ascii="Cambria Math" w:hAnsi="Cambria Math" w:cs="Times New Roman"/>
                  <w:i/>
                  <w:sz w:val="22"/>
                  <w:szCs w:val="22"/>
                  <w:lang w:val="en-US"/>
                </w:rPr>
              </m:ctrlPr>
            </m:sSubPr>
            <m:e>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β</m:t>
                  </m:r>
                </m:e>
                <m:sub>
                  <m:r>
                    <m:rPr>
                      <m:sty m:val="bi"/>
                    </m:rPr>
                    <w:rPr>
                      <w:rFonts w:ascii="Cambria Math" w:hAnsi="Cambria Math" w:cs="Times New Roman"/>
                      <w:sz w:val="22"/>
                      <w:szCs w:val="22"/>
                      <w:lang w:val="en-US"/>
                    </w:rPr>
                    <m:t>1</m:t>
                  </m:r>
                </m:sub>
              </m:sSub>
              <m:r>
                <m:rPr>
                  <m:sty m:val="bi"/>
                </m:rPr>
                <w:rPr>
                  <w:rFonts w:ascii="Cambria Math" w:hAnsi="Cambria Math" w:cs="Times New Roman"/>
                  <w:sz w:val="22"/>
                  <w:szCs w:val="22"/>
                  <w:lang w:val="en-US"/>
                </w:rPr>
                <m:t>lnmpen*</m:t>
              </m:r>
            </m:e>
            <m:sub>
              <m:r>
                <m:rPr>
                  <m:sty m:val="bi"/>
                </m:rPr>
                <w:rPr>
                  <w:rFonts w:ascii="Cambria Math" w:hAnsi="Cambria Math" w:cs="Times New Roman"/>
                  <w:sz w:val="22"/>
                  <w:szCs w:val="22"/>
                  <w:lang w:val="en-US"/>
                </w:rPr>
                <m:t>t-1</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γ</m:t>
              </m:r>
            </m:e>
            <m:sub>
              <m:r>
                <m:rPr>
                  <m:sty m:val="bi"/>
                </m:rPr>
                <w:rPr>
                  <w:rFonts w:ascii="Cambria Math" w:hAnsi="Cambria Math" w:cs="Times New Roman"/>
                  <w:sz w:val="22"/>
                  <w:szCs w:val="22"/>
                  <w:lang w:val="en-US"/>
                </w:rPr>
                <m:t>1</m:t>
              </m:r>
            </m:sub>
          </m:sSub>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ε</m:t>
              </m:r>
            </m:e>
            <m:sub>
              <m:r>
                <m:rPr>
                  <m:sty m:val="bi"/>
                </m:rPr>
                <w:rPr>
                  <w:rFonts w:ascii="Cambria Math" w:hAnsi="Cambria Math" w:cs="Times New Roman"/>
                  <w:sz w:val="22"/>
                  <w:szCs w:val="22"/>
                  <w:lang w:val="en-US"/>
                </w:rPr>
                <m:t>t-1</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γ</m:t>
              </m:r>
            </m:e>
            <m:sub>
              <m:r>
                <m:rPr>
                  <m:sty m:val="bi"/>
                </m:rPr>
                <w:rPr>
                  <w:rFonts w:ascii="Cambria Math" w:hAnsi="Cambria Math" w:cs="Times New Roman"/>
                  <w:sz w:val="22"/>
                  <w:szCs w:val="22"/>
                  <w:lang w:val="en-US"/>
                </w:rPr>
                <m:t>t-2</m:t>
              </m:r>
            </m:sub>
          </m:sSub>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ε</m:t>
              </m:r>
            </m:e>
            <m:sub>
              <m:r>
                <m:rPr>
                  <m:sty m:val="bi"/>
                </m:rPr>
                <w:rPr>
                  <w:rFonts w:ascii="Cambria Math" w:hAnsi="Cambria Math" w:cs="Times New Roman"/>
                  <w:sz w:val="22"/>
                  <w:szCs w:val="22"/>
                  <w:lang w:val="en-US"/>
                </w:rPr>
                <m:t>t-2</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γ</m:t>
              </m:r>
            </m:e>
            <m:sub>
              <m:r>
                <m:rPr>
                  <m:sty m:val="bi"/>
                </m:rPr>
                <w:rPr>
                  <w:rFonts w:ascii="Cambria Math" w:hAnsi="Cambria Math" w:cs="Times New Roman"/>
                  <w:sz w:val="22"/>
                  <w:szCs w:val="22"/>
                  <w:lang w:val="en-US"/>
                </w:rPr>
                <m:t>t-3</m:t>
              </m:r>
            </m:sub>
          </m:sSub>
          <m:sSub>
            <m:sSubPr>
              <m:ctrlPr>
                <w:rPr>
                  <w:rFonts w:ascii="Cambria Math" w:hAnsi="Cambria Math" w:cs="Times New Roman"/>
                  <w:i/>
                  <w:sz w:val="22"/>
                  <w:szCs w:val="22"/>
                  <w:lang w:val="en-US"/>
                </w:rPr>
              </m:ctrlPr>
            </m:sSubPr>
            <m:e>
              <m:r>
                <m:rPr>
                  <m:sty m:val="bi"/>
                </m:rPr>
                <w:rPr>
                  <w:rFonts w:ascii="Cambria Math" w:hAnsi="Cambria Math" w:cs="Times New Roman"/>
                  <w:sz w:val="22"/>
                  <w:szCs w:val="22"/>
                  <w:lang w:val="en-US"/>
                </w:rPr>
                <m:t>ε</m:t>
              </m:r>
            </m:e>
            <m:sub>
              <m:r>
                <m:rPr>
                  <m:sty m:val="bi"/>
                </m:rPr>
                <w:rPr>
                  <w:rFonts w:ascii="Cambria Math" w:hAnsi="Cambria Math" w:cs="Times New Roman"/>
                  <w:sz w:val="22"/>
                  <w:szCs w:val="22"/>
                  <w:lang w:val="en-US"/>
                </w:rPr>
                <m:t>t-3</m:t>
              </m:r>
            </m:sub>
          </m:sSub>
          <m:r>
            <m:rPr>
              <m:sty m:val="bi"/>
            </m:rPr>
            <w:rPr>
              <w:rFonts w:ascii="Cambria Math" w:hAnsi="Cambria Math" w:cs="Times New Roman"/>
              <w:sz w:val="22"/>
              <w:szCs w:val="22"/>
              <w:lang w:val="en-US"/>
            </w:rPr>
            <m:t>+</m:t>
          </m:r>
          <m:sSub>
            <m:sSubPr>
              <m:ctrlPr>
                <w:rPr>
                  <w:rFonts w:ascii="Cambria Math" w:hAnsi="Cambria Math" w:cs="Times New Roman"/>
                  <w:i/>
                  <w:sz w:val="22"/>
                  <w:szCs w:val="22"/>
                  <w:lang w:val="en-US"/>
                </w:rPr>
              </m:ctrlPr>
            </m:sSubPr>
            <m:e>
              <m:r>
                <w:rPr>
                  <w:rFonts w:ascii="Cambria Math" w:hAnsi="Cambria Math" w:cs="Times New Roman"/>
                  <w:sz w:val="22"/>
                  <w:szCs w:val="22"/>
                  <w:lang w:val="en-US"/>
                </w:rPr>
                <m:t>ε</m:t>
              </m:r>
            </m:e>
            <m:sub>
              <m:r>
                <w:rPr>
                  <w:rFonts w:ascii="Cambria Math" w:hAnsi="Cambria Math" w:cs="Times New Roman"/>
                  <w:sz w:val="22"/>
                  <w:szCs w:val="22"/>
                  <w:lang w:val="en-US"/>
                </w:rPr>
                <m:t>t</m:t>
              </m:r>
            </m:sub>
          </m:sSub>
          <m:r>
            <m:rPr>
              <m:sty m:val="bi"/>
            </m:rPr>
            <w:rPr>
              <w:rFonts w:ascii="Cambria Math" w:hAnsi="Cambria Math" w:cs="Times New Roman"/>
              <w:sz w:val="22"/>
              <w:szCs w:val="22"/>
              <w:lang w:val="en-US"/>
            </w:rPr>
            <m:t xml:space="preserve"> </m:t>
          </m:r>
        </m:oMath>
      </m:oMathPara>
    </w:p>
    <w:p w:rsidR="00CE586C" w:rsidRDefault="000E12D5" w:rsidP="007A3419">
      <w:p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Table 1 shows the estimation results of those models.</w:t>
      </w:r>
      <w:r w:rsidR="004918C2">
        <w:rPr>
          <w:rFonts w:ascii="Times New Roman" w:hAnsi="Times New Roman" w:cs="Times New Roman"/>
          <w:sz w:val="24"/>
          <w:szCs w:val="24"/>
          <w:lang w:val="en-US"/>
        </w:rPr>
        <w:t xml:space="preserve"> </w:t>
      </w:r>
      <w:r w:rsidR="00B94CD8">
        <w:rPr>
          <w:rFonts w:ascii="Times New Roman" w:hAnsi="Times New Roman" w:cs="Times New Roman"/>
          <w:sz w:val="24"/>
          <w:szCs w:val="24"/>
          <w:lang w:val="en-US"/>
        </w:rPr>
        <w:t xml:space="preserve">It should also be noted that results of the Portmanteau Test </w:t>
      </w:r>
      <w:r w:rsidR="00FE5420">
        <w:rPr>
          <w:rFonts w:ascii="Times New Roman" w:hAnsi="Times New Roman" w:cs="Times New Roman"/>
          <w:sz w:val="24"/>
          <w:szCs w:val="24"/>
          <w:lang w:val="en-US"/>
        </w:rPr>
        <w:t>supports that resi</w:t>
      </w:r>
      <w:r w:rsidR="001138A7">
        <w:rPr>
          <w:rFonts w:ascii="Times New Roman" w:hAnsi="Times New Roman" w:cs="Times New Roman"/>
          <w:sz w:val="24"/>
          <w:szCs w:val="24"/>
          <w:lang w:val="en-US"/>
        </w:rPr>
        <w:t>duals are white noise</w:t>
      </w:r>
      <w:r w:rsidR="00CE586C">
        <w:rPr>
          <w:rFonts w:ascii="Times New Roman" w:hAnsi="Times New Roman" w:cs="Times New Roman"/>
          <w:sz w:val="24"/>
          <w:szCs w:val="24"/>
          <w:lang w:val="en-US"/>
        </w:rPr>
        <w:t xml:space="preserve"> </w:t>
      </w:r>
      <w:r>
        <w:rPr>
          <w:rFonts w:ascii="Times New Roman" w:hAnsi="Times New Roman" w:cs="Times New Roman"/>
          <w:sz w:val="24"/>
          <w:szCs w:val="24"/>
          <w:lang w:val="en-US"/>
        </w:rPr>
        <w:t>at 5</w:t>
      </w:r>
      <w:r w:rsidR="00B94CD8">
        <w:rPr>
          <w:rFonts w:ascii="Times New Roman" w:hAnsi="Times New Roman" w:cs="Times New Roman"/>
          <w:sz w:val="24"/>
          <w:szCs w:val="24"/>
          <w:lang w:val="en-US"/>
        </w:rPr>
        <w:t>% significance level.</w:t>
      </w:r>
      <w:r w:rsidR="00CE586C">
        <w:rPr>
          <w:rFonts w:ascii="Times New Roman" w:hAnsi="Times New Roman" w:cs="Times New Roman"/>
          <w:sz w:val="24"/>
          <w:szCs w:val="24"/>
          <w:lang w:val="en-US"/>
        </w:rPr>
        <w:t xml:space="preserve"> </w:t>
      </w:r>
    </w:p>
    <w:p w:rsidR="007A3419" w:rsidRDefault="007A3419" w:rsidP="007A3419">
      <w:pPr>
        <w:spacing w:line="240" w:lineRule="auto"/>
        <w:ind w:firstLine="0"/>
        <w:rPr>
          <w:rFonts w:ascii="Times New Roman" w:hAnsi="Times New Roman" w:cs="Times New Roman"/>
          <w:b/>
          <w:sz w:val="24"/>
          <w:szCs w:val="24"/>
          <w:lang w:val="en-US"/>
        </w:rPr>
      </w:pPr>
    </w:p>
    <w:p w:rsidR="003717D4" w:rsidRPr="003717D4" w:rsidRDefault="00AC5ACF" w:rsidP="00CF74FD">
      <w:pPr>
        <w:ind w:firstLine="0"/>
        <w:rPr>
          <w:rFonts w:ascii="Times New Roman" w:hAnsi="Times New Roman" w:cs="Times New Roman"/>
          <w:sz w:val="24"/>
          <w:szCs w:val="24"/>
          <w:lang w:val="en-US"/>
        </w:rPr>
      </w:pPr>
      <w:r>
        <w:rPr>
          <w:rFonts w:ascii="Times New Roman" w:hAnsi="Times New Roman" w:cs="Times New Roman"/>
          <w:sz w:val="24"/>
          <w:szCs w:val="24"/>
          <w:lang w:val="en-US"/>
        </w:rPr>
        <w:t>Table 2</w:t>
      </w:r>
      <w:r w:rsidR="003717D4" w:rsidRPr="003717D4">
        <w:rPr>
          <w:rFonts w:ascii="Times New Roman" w:hAnsi="Times New Roman" w:cs="Times New Roman"/>
          <w:sz w:val="24"/>
          <w:szCs w:val="24"/>
          <w:lang w:val="en-US"/>
        </w:rPr>
        <w:t>: Estimation Results for Models</w:t>
      </w:r>
    </w:p>
    <w:tbl>
      <w:tblPr>
        <w:tblStyle w:val="Tabel-Gitter"/>
        <w:tblW w:w="0" w:type="auto"/>
        <w:tblInd w:w="108" w:type="dxa"/>
        <w:tblLayout w:type="fixed"/>
        <w:tblLook w:val="04A0" w:firstRow="1" w:lastRow="0" w:firstColumn="1" w:lastColumn="0" w:noHBand="0" w:noVBand="1"/>
      </w:tblPr>
      <w:tblGrid>
        <w:gridCol w:w="1790"/>
        <w:gridCol w:w="1791"/>
        <w:gridCol w:w="1791"/>
        <w:gridCol w:w="1791"/>
        <w:gridCol w:w="1791"/>
      </w:tblGrid>
      <w:tr w:rsidR="00445947" w:rsidRPr="00BE788D" w:rsidTr="005B19FE">
        <w:trPr>
          <w:trHeight w:val="851"/>
        </w:trPr>
        <w:tc>
          <w:tcPr>
            <w:tcW w:w="1790" w:type="dxa"/>
          </w:tcPr>
          <w:p w:rsidR="00445947" w:rsidRPr="00BE788D" w:rsidRDefault="00445947" w:rsidP="00CF74FD">
            <w:pPr>
              <w:ind w:firstLine="0"/>
              <w:rPr>
                <w:rFonts w:ascii="Times New Roman" w:hAnsi="Times New Roman" w:cs="Times New Roman"/>
                <w:b/>
                <w:sz w:val="22"/>
                <w:szCs w:val="22"/>
                <w:lang w:val="en-US"/>
              </w:rPr>
            </w:pPr>
          </w:p>
        </w:tc>
        <w:tc>
          <w:tcPr>
            <w:tcW w:w="1791" w:type="dxa"/>
          </w:tcPr>
          <w:p w:rsidR="00445947" w:rsidRPr="00BE788D" w:rsidRDefault="00445947" w:rsidP="00BE788D">
            <w:pPr>
              <w:ind w:firstLine="0"/>
              <w:jc w:val="center"/>
              <w:rPr>
                <w:rFonts w:ascii="Times New Roman" w:hAnsi="Times New Roman" w:cs="Times New Roman"/>
                <w:sz w:val="22"/>
                <w:szCs w:val="22"/>
                <w:lang w:val="en-US"/>
              </w:rPr>
            </w:pPr>
            <w:r w:rsidRPr="00BE788D">
              <w:rPr>
                <w:rFonts w:ascii="Times New Roman" w:hAnsi="Times New Roman" w:cs="Times New Roman"/>
                <w:sz w:val="22"/>
                <w:szCs w:val="22"/>
                <w:lang w:val="en-US"/>
              </w:rPr>
              <w:t>Model 1</w:t>
            </w:r>
          </w:p>
          <w:p w:rsidR="00445947" w:rsidRPr="00BE788D" w:rsidRDefault="005B19FE" w:rsidP="00CF74FD">
            <w:pPr>
              <w:ind w:firstLine="0"/>
              <w:rPr>
                <w:rFonts w:ascii="Times New Roman" w:hAnsi="Times New Roman" w:cs="Times New Roman"/>
                <w:b/>
                <w:sz w:val="22"/>
                <w:szCs w:val="22"/>
                <w:lang w:val="en-US"/>
              </w:rPr>
            </w:pPr>
            <w:r>
              <w:rPr>
                <w:rFonts w:ascii="Times New Roman" w:hAnsi="Times New Roman" w:cs="Times New Roman"/>
                <w:sz w:val="22"/>
                <w:szCs w:val="22"/>
                <w:lang w:val="en-US"/>
              </w:rPr>
              <w:t>AR = 1 2</w:t>
            </w:r>
          </w:p>
          <w:p w:rsidR="00445947" w:rsidRPr="00BE788D" w:rsidRDefault="00445947" w:rsidP="00CF74FD">
            <w:pPr>
              <w:ind w:firstLine="0"/>
              <w:rPr>
                <w:rFonts w:ascii="Times New Roman" w:hAnsi="Times New Roman" w:cs="Times New Roman"/>
                <w:b/>
                <w:sz w:val="22"/>
                <w:szCs w:val="22"/>
                <w:lang w:val="en-US"/>
              </w:rPr>
            </w:pPr>
          </w:p>
        </w:tc>
        <w:tc>
          <w:tcPr>
            <w:tcW w:w="1791" w:type="dxa"/>
          </w:tcPr>
          <w:p w:rsidR="00445947" w:rsidRPr="00BE788D" w:rsidRDefault="00445947" w:rsidP="00BE788D">
            <w:pPr>
              <w:ind w:firstLine="0"/>
              <w:jc w:val="center"/>
              <w:rPr>
                <w:rFonts w:ascii="Times New Roman" w:hAnsi="Times New Roman" w:cs="Times New Roman"/>
                <w:sz w:val="22"/>
                <w:szCs w:val="22"/>
                <w:lang w:val="en-US"/>
              </w:rPr>
            </w:pPr>
            <w:r w:rsidRPr="00BE788D">
              <w:rPr>
                <w:rFonts w:ascii="Times New Roman" w:hAnsi="Times New Roman" w:cs="Times New Roman"/>
                <w:sz w:val="22"/>
                <w:szCs w:val="22"/>
                <w:lang w:val="en-US"/>
              </w:rPr>
              <w:t>Model 2</w:t>
            </w:r>
          </w:p>
          <w:p w:rsidR="00445947" w:rsidRPr="00BE788D" w:rsidRDefault="00445947" w:rsidP="00CF74FD">
            <w:pPr>
              <w:ind w:firstLine="0"/>
              <w:rPr>
                <w:rFonts w:ascii="Times New Roman" w:hAnsi="Times New Roman" w:cs="Times New Roman"/>
                <w:b/>
                <w:sz w:val="22"/>
                <w:szCs w:val="22"/>
                <w:lang w:val="en-US"/>
              </w:rPr>
            </w:pPr>
            <w:r w:rsidRPr="00BE788D">
              <w:rPr>
                <w:rFonts w:ascii="Times New Roman" w:hAnsi="Times New Roman" w:cs="Times New Roman"/>
                <w:sz w:val="22"/>
                <w:szCs w:val="22"/>
                <w:lang w:val="en-US"/>
              </w:rPr>
              <w:t xml:space="preserve">AR = 1 2 3 </w:t>
            </w:r>
          </w:p>
          <w:p w:rsidR="00445947" w:rsidRPr="00BE788D" w:rsidRDefault="00445947" w:rsidP="00CF74FD">
            <w:pPr>
              <w:ind w:firstLine="0"/>
              <w:rPr>
                <w:rFonts w:ascii="Times New Roman" w:hAnsi="Times New Roman" w:cs="Times New Roman"/>
                <w:b/>
                <w:sz w:val="22"/>
                <w:szCs w:val="22"/>
                <w:lang w:val="en-US"/>
              </w:rPr>
            </w:pPr>
          </w:p>
        </w:tc>
        <w:tc>
          <w:tcPr>
            <w:tcW w:w="1791" w:type="dxa"/>
          </w:tcPr>
          <w:p w:rsidR="005B19FE" w:rsidRPr="00BE788D" w:rsidRDefault="000E59A8" w:rsidP="005B19FE">
            <w:pPr>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Model 3</w:t>
            </w:r>
          </w:p>
          <w:p w:rsidR="005B19FE" w:rsidRPr="00BE788D" w:rsidRDefault="005B19FE" w:rsidP="005B19FE">
            <w:pPr>
              <w:ind w:firstLine="0"/>
              <w:rPr>
                <w:rFonts w:ascii="Times New Roman" w:hAnsi="Times New Roman" w:cs="Times New Roman"/>
                <w:b/>
                <w:sz w:val="22"/>
                <w:szCs w:val="22"/>
                <w:lang w:val="en-US"/>
              </w:rPr>
            </w:pPr>
            <w:r>
              <w:rPr>
                <w:rFonts w:ascii="Times New Roman" w:hAnsi="Times New Roman" w:cs="Times New Roman"/>
                <w:sz w:val="22"/>
                <w:szCs w:val="22"/>
                <w:lang w:val="en-US"/>
              </w:rPr>
              <w:t>AR = 1 2</w:t>
            </w:r>
            <w:r w:rsidRPr="00BE788D">
              <w:rPr>
                <w:rFonts w:ascii="Times New Roman" w:hAnsi="Times New Roman" w:cs="Times New Roman"/>
                <w:sz w:val="22"/>
                <w:szCs w:val="22"/>
                <w:lang w:val="en-US"/>
              </w:rPr>
              <w:t xml:space="preserve"> </w:t>
            </w:r>
          </w:p>
          <w:p w:rsidR="00445947" w:rsidRPr="00BE788D" w:rsidRDefault="005B19FE" w:rsidP="005B19FE">
            <w:pPr>
              <w:ind w:firstLine="0"/>
              <w:rPr>
                <w:rFonts w:ascii="Times New Roman" w:hAnsi="Times New Roman" w:cs="Times New Roman"/>
                <w:sz w:val="22"/>
                <w:szCs w:val="22"/>
                <w:lang w:val="en-US"/>
              </w:rPr>
            </w:pPr>
            <w:r>
              <w:rPr>
                <w:rFonts w:ascii="Times New Roman" w:hAnsi="Times New Roman" w:cs="Times New Roman"/>
                <w:sz w:val="22"/>
                <w:szCs w:val="22"/>
                <w:lang w:val="en-US"/>
              </w:rPr>
              <w:t>MA = 1</w:t>
            </w:r>
          </w:p>
        </w:tc>
        <w:tc>
          <w:tcPr>
            <w:tcW w:w="1791" w:type="dxa"/>
          </w:tcPr>
          <w:p w:rsidR="005B19FE" w:rsidRPr="00BE788D" w:rsidRDefault="000E59A8" w:rsidP="005B19FE">
            <w:pPr>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Model 4</w:t>
            </w:r>
          </w:p>
          <w:p w:rsidR="005B19FE" w:rsidRPr="00BE788D" w:rsidRDefault="005B19FE" w:rsidP="005B19FE">
            <w:pPr>
              <w:ind w:firstLine="0"/>
              <w:rPr>
                <w:rFonts w:ascii="Times New Roman" w:hAnsi="Times New Roman" w:cs="Times New Roman"/>
                <w:b/>
                <w:sz w:val="22"/>
                <w:szCs w:val="22"/>
                <w:lang w:val="en-US"/>
              </w:rPr>
            </w:pPr>
            <w:r>
              <w:rPr>
                <w:rFonts w:ascii="Times New Roman" w:hAnsi="Times New Roman" w:cs="Times New Roman"/>
                <w:sz w:val="22"/>
                <w:szCs w:val="22"/>
                <w:lang w:val="en-US"/>
              </w:rPr>
              <w:t>AR = 1</w:t>
            </w:r>
          </w:p>
          <w:p w:rsidR="00445947" w:rsidRPr="00BE788D" w:rsidRDefault="005B19FE" w:rsidP="005B19FE">
            <w:pPr>
              <w:ind w:firstLine="0"/>
              <w:rPr>
                <w:rFonts w:ascii="Times New Roman" w:hAnsi="Times New Roman" w:cs="Times New Roman"/>
                <w:sz w:val="22"/>
                <w:szCs w:val="22"/>
                <w:lang w:val="en-US"/>
              </w:rPr>
            </w:pPr>
            <w:r>
              <w:rPr>
                <w:rFonts w:ascii="Times New Roman" w:hAnsi="Times New Roman" w:cs="Times New Roman"/>
                <w:sz w:val="22"/>
                <w:szCs w:val="22"/>
                <w:lang w:val="en-US"/>
              </w:rPr>
              <w:t>MA = 1 2 3</w:t>
            </w:r>
          </w:p>
        </w:tc>
      </w:tr>
      <w:tr w:rsidR="00445947" w:rsidRPr="00BE788D" w:rsidTr="004E7946">
        <w:trPr>
          <w:trHeight w:val="737"/>
        </w:trPr>
        <w:tc>
          <w:tcPr>
            <w:tcW w:w="1790" w:type="dxa"/>
            <w:vAlign w:val="center"/>
          </w:tcPr>
          <w:p w:rsidR="00445947" w:rsidRPr="00BE788D" w:rsidRDefault="00445947" w:rsidP="00BE788D">
            <w:pPr>
              <w:ind w:firstLine="0"/>
              <w:jc w:val="left"/>
              <w:rPr>
                <w:rFonts w:ascii="Times New Roman" w:hAnsi="Times New Roman" w:cs="Times New Roman"/>
                <w:b/>
                <w:sz w:val="22"/>
                <w:szCs w:val="22"/>
                <w:lang w:val="en-US"/>
              </w:rPr>
            </w:pPr>
            <w:r w:rsidRPr="00BE788D">
              <w:rPr>
                <w:rFonts w:ascii="Times New Roman" w:hAnsi="Times New Roman" w:cs="Times New Roman"/>
                <w:sz w:val="22"/>
                <w:szCs w:val="22"/>
                <w:lang w:val="en-US"/>
              </w:rPr>
              <w:t>Intercept</w:t>
            </w:r>
          </w:p>
        </w:tc>
        <w:tc>
          <w:tcPr>
            <w:tcW w:w="1791" w:type="dxa"/>
            <w:vAlign w:val="center"/>
          </w:tcPr>
          <w:p w:rsidR="00445947" w:rsidRDefault="00084EA5"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0.0198</w:t>
            </w:r>
          </w:p>
          <w:p w:rsidR="00084EA5" w:rsidRPr="00BE788D" w:rsidRDefault="00084EA5"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(0.5)</w:t>
            </w:r>
          </w:p>
        </w:tc>
        <w:tc>
          <w:tcPr>
            <w:tcW w:w="1791" w:type="dxa"/>
            <w:vAlign w:val="center"/>
          </w:tcPr>
          <w:p w:rsidR="00445947" w:rsidRDefault="003D62B2"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0.0156</w:t>
            </w:r>
          </w:p>
          <w:p w:rsidR="003D62B2" w:rsidRPr="00BE788D" w:rsidRDefault="003D62B2"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(0.46)</w:t>
            </w:r>
          </w:p>
        </w:tc>
        <w:tc>
          <w:tcPr>
            <w:tcW w:w="1791" w:type="dxa"/>
            <w:vAlign w:val="center"/>
          </w:tcPr>
          <w:p w:rsidR="00445947" w:rsidRDefault="00A07507"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0.0135</w:t>
            </w:r>
          </w:p>
          <w:p w:rsidR="00A07507" w:rsidRDefault="00A07507"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(0.45)</w:t>
            </w:r>
          </w:p>
        </w:tc>
        <w:tc>
          <w:tcPr>
            <w:tcW w:w="1791" w:type="dxa"/>
            <w:vAlign w:val="center"/>
          </w:tcPr>
          <w:p w:rsidR="00445947"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0.02559</w:t>
            </w:r>
          </w:p>
          <w:p w:rsidR="0013290E"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(0.51)</w:t>
            </w:r>
          </w:p>
        </w:tc>
      </w:tr>
      <w:tr w:rsidR="00445947" w:rsidRPr="00BE788D" w:rsidTr="004E7946">
        <w:trPr>
          <w:trHeight w:val="737"/>
        </w:trPr>
        <w:tc>
          <w:tcPr>
            <w:tcW w:w="1790" w:type="dxa"/>
            <w:vAlign w:val="center"/>
          </w:tcPr>
          <w:p w:rsidR="00445947" w:rsidRPr="00BE788D" w:rsidRDefault="00445947" w:rsidP="00BE788D">
            <w:pPr>
              <w:ind w:firstLine="0"/>
              <w:jc w:val="left"/>
              <w:rPr>
                <w:rFonts w:ascii="Times New Roman" w:hAnsi="Times New Roman" w:cs="Times New Roman"/>
                <w:b/>
                <w:sz w:val="22"/>
                <w:szCs w:val="22"/>
                <w:lang w:val="en-US"/>
              </w:rPr>
            </w:pPr>
            <w:r w:rsidRPr="00BE788D">
              <w:rPr>
                <w:rFonts w:ascii="Times New Roman" w:hAnsi="Times New Roman" w:cs="Times New Roman"/>
                <w:sz w:val="22"/>
                <w:szCs w:val="22"/>
                <w:lang w:val="en-US"/>
              </w:rPr>
              <w:t>Coef_ar1</w:t>
            </w:r>
          </w:p>
        </w:tc>
        <w:tc>
          <w:tcPr>
            <w:tcW w:w="1791" w:type="dxa"/>
            <w:vAlign w:val="center"/>
          </w:tcPr>
          <w:p w:rsidR="00445947" w:rsidRDefault="00084EA5"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1.5734</w:t>
            </w:r>
            <w:r w:rsidR="000E59A8">
              <w:rPr>
                <w:rFonts w:ascii="Times New Roman" w:hAnsi="Times New Roman" w:cs="Times New Roman"/>
                <w:sz w:val="22"/>
                <w:szCs w:val="22"/>
                <w:lang w:val="en-US"/>
              </w:rPr>
              <w:t>*</w:t>
            </w:r>
          </w:p>
          <w:p w:rsidR="00084EA5" w:rsidRPr="00BE788D" w:rsidRDefault="00084EA5"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(22.97)</w:t>
            </w:r>
          </w:p>
        </w:tc>
        <w:tc>
          <w:tcPr>
            <w:tcW w:w="1791" w:type="dxa"/>
            <w:vAlign w:val="center"/>
          </w:tcPr>
          <w:p w:rsidR="00445947" w:rsidRDefault="003D62B2"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1.46</w:t>
            </w:r>
            <w:r w:rsidR="000E59A8">
              <w:rPr>
                <w:rFonts w:ascii="Times New Roman" w:hAnsi="Times New Roman" w:cs="Times New Roman"/>
                <w:sz w:val="22"/>
                <w:szCs w:val="22"/>
                <w:lang w:val="en-US"/>
              </w:rPr>
              <w:t>*</w:t>
            </w:r>
          </w:p>
          <w:p w:rsidR="003D62B2" w:rsidRPr="00BE788D" w:rsidRDefault="003D62B2"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(17.59)</w:t>
            </w:r>
          </w:p>
        </w:tc>
        <w:tc>
          <w:tcPr>
            <w:tcW w:w="1791" w:type="dxa"/>
            <w:vAlign w:val="center"/>
          </w:tcPr>
          <w:p w:rsidR="00445947" w:rsidRDefault="00A07507"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1.7812</w:t>
            </w:r>
            <w:r w:rsidR="000E59A8">
              <w:rPr>
                <w:rFonts w:ascii="Times New Roman" w:hAnsi="Times New Roman" w:cs="Times New Roman"/>
                <w:sz w:val="22"/>
                <w:szCs w:val="22"/>
                <w:lang w:val="en-US"/>
              </w:rPr>
              <w:t>*</w:t>
            </w:r>
          </w:p>
          <w:p w:rsidR="00A07507" w:rsidRDefault="00A07507"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(27.7)</w:t>
            </w:r>
          </w:p>
        </w:tc>
        <w:tc>
          <w:tcPr>
            <w:tcW w:w="1791" w:type="dxa"/>
            <w:vAlign w:val="center"/>
          </w:tcPr>
          <w:p w:rsidR="00445947"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0.9768</w:t>
            </w:r>
            <w:r w:rsidR="000E59A8">
              <w:rPr>
                <w:rFonts w:ascii="Times New Roman" w:hAnsi="Times New Roman" w:cs="Times New Roman"/>
                <w:sz w:val="22"/>
                <w:szCs w:val="22"/>
                <w:lang w:val="en-US"/>
              </w:rPr>
              <w:t>*</w:t>
            </w:r>
          </w:p>
          <w:p w:rsidR="0013290E"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(43.02)</w:t>
            </w:r>
          </w:p>
        </w:tc>
      </w:tr>
      <w:tr w:rsidR="00445947" w:rsidRPr="00BE788D" w:rsidTr="004E7946">
        <w:trPr>
          <w:trHeight w:val="737"/>
        </w:trPr>
        <w:tc>
          <w:tcPr>
            <w:tcW w:w="1790" w:type="dxa"/>
            <w:vAlign w:val="center"/>
          </w:tcPr>
          <w:p w:rsidR="00445947" w:rsidRPr="00BE788D" w:rsidRDefault="00445947" w:rsidP="00BE788D">
            <w:pPr>
              <w:ind w:firstLine="0"/>
              <w:jc w:val="left"/>
              <w:rPr>
                <w:rFonts w:ascii="Times New Roman" w:hAnsi="Times New Roman" w:cs="Times New Roman"/>
                <w:b/>
                <w:sz w:val="22"/>
                <w:szCs w:val="22"/>
                <w:lang w:val="en-US"/>
              </w:rPr>
            </w:pPr>
            <w:r w:rsidRPr="00BE788D">
              <w:rPr>
                <w:rFonts w:ascii="Times New Roman" w:hAnsi="Times New Roman" w:cs="Times New Roman"/>
                <w:sz w:val="22"/>
                <w:szCs w:val="22"/>
                <w:lang w:val="en-US"/>
              </w:rPr>
              <w:t>Coef_ar2</w:t>
            </w:r>
          </w:p>
        </w:tc>
        <w:tc>
          <w:tcPr>
            <w:tcW w:w="1791" w:type="dxa"/>
            <w:vAlign w:val="center"/>
          </w:tcPr>
          <w:p w:rsidR="00445947" w:rsidRDefault="00015D1B"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-0.5876</w:t>
            </w:r>
            <w:r w:rsidR="000E59A8">
              <w:rPr>
                <w:rFonts w:ascii="Times New Roman" w:hAnsi="Times New Roman" w:cs="Times New Roman"/>
                <w:sz w:val="22"/>
                <w:szCs w:val="22"/>
                <w:lang w:val="en-US"/>
              </w:rPr>
              <w:t>*</w:t>
            </w:r>
          </w:p>
          <w:p w:rsidR="00015D1B" w:rsidRPr="00BE788D" w:rsidRDefault="00015D1B"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(-8.61)</w:t>
            </w:r>
          </w:p>
        </w:tc>
        <w:tc>
          <w:tcPr>
            <w:tcW w:w="1791" w:type="dxa"/>
            <w:vAlign w:val="center"/>
          </w:tcPr>
          <w:p w:rsidR="00445947" w:rsidRDefault="003D62B2"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-0.2862</w:t>
            </w:r>
            <w:r w:rsidR="000E59A8">
              <w:rPr>
                <w:rFonts w:ascii="Times New Roman" w:hAnsi="Times New Roman" w:cs="Times New Roman"/>
                <w:sz w:val="22"/>
                <w:szCs w:val="22"/>
                <w:lang w:val="en-US"/>
              </w:rPr>
              <w:t>**</w:t>
            </w:r>
          </w:p>
          <w:p w:rsidR="003D62B2" w:rsidRPr="00BE788D" w:rsidRDefault="003D62B2"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(-2.1)</w:t>
            </w:r>
          </w:p>
        </w:tc>
        <w:tc>
          <w:tcPr>
            <w:tcW w:w="1791" w:type="dxa"/>
            <w:vAlign w:val="center"/>
          </w:tcPr>
          <w:p w:rsidR="00445947" w:rsidRDefault="00A07507"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-0.7937</w:t>
            </w:r>
            <w:r w:rsidR="000E59A8">
              <w:rPr>
                <w:rFonts w:ascii="Times New Roman" w:hAnsi="Times New Roman" w:cs="Times New Roman"/>
                <w:sz w:val="22"/>
                <w:szCs w:val="22"/>
                <w:lang w:val="en-US"/>
              </w:rPr>
              <w:t>*</w:t>
            </w:r>
          </w:p>
          <w:p w:rsidR="00A07507" w:rsidRDefault="00A07507"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(-12.67)</w:t>
            </w:r>
          </w:p>
        </w:tc>
        <w:tc>
          <w:tcPr>
            <w:tcW w:w="1791" w:type="dxa"/>
            <w:vAlign w:val="center"/>
          </w:tcPr>
          <w:p w:rsidR="00445947" w:rsidRDefault="00445947" w:rsidP="004E7946">
            <w:pPr>
              <w:ind w:firstLine="0"/>
              <w:jc w:val="center"/>
              <w:rPr>
                <w:rFonts w:ascii="Times New Roman" w:hAnsi="Times New Roman" w:cs="Times New Roman"/>
                <w:b/>
                <w:sz w:val="22"/>
                <w:szCs w:val="22"/>
                <w:lang w:val="en-US"/>
              </w:rPr>
            </w:pPr>
          </w:p>
        </w:tc>
      </w:tr>
      <w:tr w:rsidR="00445947" w:rsidRPr="00BE788D" w:rsidTr="004E7946">
        <w:trPr>
          <w:trHeight w:val="737"/>
        </w:trPr>
        <w:tc>
          <w:tcPr>
            <w:tcW w:w="1790" w:type="dxa"/>
            <w:vAlign w:val="center"/>
          </w:tcPr>
          <w:p w:rsidR="00445947" w:rsidRPr="00BE788D" w:rsidRDefault="00445947" w:rsidP="00BE788D">
            <w:pPr>
              <w:ind w:firstLine="0"/>
              <w:jc w:val="left"/>
              <w:rPr>
                <w:rFonts w:ascii="Times New Roman" w:hAnsi="Times New Roman" w:cs="Times New Roman"/>
                <w:b/>
                <w:sz w:val="22"/>
                <w:szCs w:val="22"/>
                <w:lang w:val="en-US"/>
              </w:rPr>
            </w:pPr>
            <w:r w:rsidRPr="00BE788D">
              <w:rPr>
                <w:rFonts w:ascii="Times New Roman" w:hAnsi="Times New Roman" w:cs="Times New Roman"/>
                <w:sz w:val="22"/>
                <w:szCs w:val="22"/>
                <w:lang w:val="en-US"/>
              </w:rPr>
              <w:t>Coef_ar3</w:t>
            </w:r>
          </w:p>
        </w:tc>
        <w:tc>
          <w:tcPr>
            <w:tcW w:w="1791" w:type="dxa"/>
            <w:vAlign w:val="center"/>
          </w:tcPr>
          <w:p w:rsidR="00445947" w:rsidRPr="00BE788D" w:rsidRDefault="00445947" w:rsidP="00BE788D">
            <w:pPr>
              <w:ind w:firstLine="0"/>
              <w:jc w:val="center"/>
              <w:rPr>
                <w:rFonts w:ascii="Times New Roman" w:hAnsi="Times New Roman" w:cs="Times New Roman"/>
                <w:b/>
                <w:sz w:val="22"/>
                <w:szCs w:val="22"/>
                <w:lang w:val="en-US"/>
              </w:rPr>
            </w:pPr>
          </w:p>
        </w:tc>
        <w:tc>
          <w:tcPr>
            <w:tcW w:w="1791" w:type="dxa"/>
            <w:vAlign w:val="center"/>
          </w:tcPr>
          <w:p w:rsidR="00445947" w:rsidRDefault="003D62B2"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-0.1907</w:t>
            </w:r>
            <w:r w:rsidR="000E59A8">
              <w:rPr>
                <w:rFonts w:ascii="Times New Roman" w:hAnsi="Times New Roman" w:cs="Times New Roman"/>
                <w:sz w:val="22"/>
                <w:szCs w:val="22"/>
                <w:lang w:val="en-US"/>
              </w:rPr>
              <w:t>*</w:t>
            </w:r>
          </w:p>
          <w:p w:rsidR="003D62B2" w:rsidRPr="00BE788D" w:rsidRDefault="003D62B2" w:rsidP="00BE788D">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(-2.62)</w:t>
            </w:r>
          </w:p>
        </w:tc>
        <w:tc>
          <w:tcPr>
            <w:tcW w:w="1791" w:type="dxa"/>
            <w:vAlign w:val="center"/>
          </w:tcPr>
          <w:p w:rsidR="00445947" w:rsidRDefault="00445947" w:rsidP="004E7946">
            <w:pPr>
              <w:ind w:firstLine="0"/>
              <w:jc w:val="center"/>
              <w:rPr>
                <w:rFonts w:ascii="Times New Roman" w:hAnsi="Times New Roman" w:cs="Times New Roman"/>
                <w:b/>
                <w:sz w:val="22"/>
                <w:szCs w:val="22"/>
                <w:lang w:val="en-US"/>
              </w:rPr>
            </w:pPr>
          </w:p>
        </w:tc>
        <w:tc>
          <w:tcPr>
            <w:tcW w:w="1791" w:type="dxa"/>
            <w:vAlign w:val="center"/>
          </w:tcPr>
          <w:p w:rsidR="00445947" w:rsidRDefault="00445947" w:rsidP="004E7946">
            <w:pPr>
              <w:ind w:firstLine="0"/>
              <w:jc w:val="center"/>
              <w:rPr>
                <w:rFonts w:ascii="Times New Roman" w:hAnsi="Times New Roman" w:cs="Times New Roman"/>
                <w:b/>
                <w:sz w:val="22"/>
                <w:szCs w:val="22"/>
                <w:lang w:val="en-US"/>
              </w:rPr>
            </w:pPr>
          </w:p>
        </w:tc>
      </w:tr>
      <w:tr w:rsidR="00445947" w:rsidRPr="00BE788D" w:rsidTr="004E7946">
        <w:trPr>
          <w:trHeight w:val="737"/>
        </w:trPr>
        <w:tc>
          <w:tcPr>
            <w:tcW w:w="1790" w:type="dxa"/>
            <w:vAlign w:val="center"/>
          </w:tcPr>
          <w:p w:rsidR="00445947" w:rsidRPr="00BE788D" w:rsidRDefault="00445947" w:rsidP="00BE788D">
            <w:pPr>
              <w:ind w:firstLine="0"/>
              <w:jc w:val="left"/>
              <w:rPr>
                <w:rFonts w:ascii="Times New Roman" w:hAnsi="Times New Roman" w:cs="Times New Roman"/>
                <w:b/>
                <w:sz w:val="22"/>
                <w:szCs w:val="22"/>
                <w:lang w:val="en-US"/>
              </w:rPr>
            </w:pPr>
            <w:r w:rsidRPr="00BE788D">
              <w:rPr>
                <w:rFonts w:ascii="Times New Roman" w:hAnsi="Times New Roman" w:cs="Times New Roman"/>
                <w:sz w:val="22"/>
                <w:szCs w:val="22"/>
                <w:lang w:val="en-US"/>
              </w:rPr>
              <w:t>Coef_ma1</w:t>
            </w:r>
          </w:p>
        </w:tc>
        <w:tc>
          <w:tcPr>
            <w:tcW w:w="1791" w:type="dxa"/>
            <w:vAlign w:val="center"/>
          </w:tcPr>
          <w:p w:rsidR="00445947" w:rsidRPr="00BE788D" w:rsidRDefault="00445947" w:rsidP="00BE788D">
            <w:pPr>
              <w:ind w:firstLine="0"/>
              <w:jc w:val="center"/>
              <w:rPr>
                <w:rFonts w:ascii="Times New Roman" w:hAnsi="Times New Roman" w:cs="Times New Roman"/>
                <w:b/>
                <w:sz w:val="22"/>
                <w:szCs w:val="22"/>
                <w:lang w:val="en-US"/>
              </w:rPr>
            </w:pPr>
          </w:p>
        </w:tc>
        <w:tc>
          <w:tcPr>
            <w:tcW w:w="1791" w:type="dxa"/>
            <w:vAlign w:val="center"/>
          </w:tcPr>
          <w:p w:rsidR="00445947" w:rsidRPr="00BE788D" w:rsidRDefault="00445947" w:rsidP="00BE788D">
            <w:pPr>
              <w:ind w:firstLine="0"/>
              <w:jc w:val="center"/>
              <w:rPr>
                <w:rFonts w:ascii="Times New Roman" w:hAnsi="Times New Roman" w:cs="Times New Roman"/>
                <w:b/>
                <w:sz w:val="22"/>
                <w:szCs w:val="22"/>
                <w:lang w:val="en-US"/>
              </w:rPr>
            </w:pPr>
          </w:p>
        </w:tc>
        <w:tc>
          <w:tcPr>
            <w:tcW w:w="1791" w:type="dxa"/>
            <w:vAlign w:val="center"/>
          </w:tcPr>
          <w:p w:rsidR="00445947" w:rsidRDefault="00A07507"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-0.3331</w:t>
            </w:r>
            <w:r w:rsidR="000E59A8">
              <w:rPr>
                <w:rFonts w:ascii="Times New Roman" w:hAnsi="Times New Roman" w:cs="Times New Roman"/>
                <w:sz w:val="22"/>
                <w:szCs w:val="22"/>
                <w:lang w:val="en-US"/>
              </w:rPr>
              <w:t>*</w:t>
            </w:r>
          </w:p>
          <w:p w:rsidR="00A07507" w:rsidRPr="00BE788D" w:rsidRDefault="00A07507"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(-3.97)</w:t>
            </w:r>
          </w:p>
        </w:tc>
        <w:tc>
          <w:tcPr>
            <w:tcW w:w="1791" w:type="dxa"/>
            <w:vAlign w:val="center"/>
          </w:tcPr>
          <w:p w:rsidR="00445947"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0.48</w:t>
            </w:r>
            <w:r w:rsidR="000E59A8">
              <w:rPr>
                <w:rFonts w:ascii="Times New Roman" w:hAnsi="Times New Roman" w:cs="Times New Roman"/>
                <w:sz w:val="22"/>
                <w:szCs w:val="22"/>
                <w:lang w:val="en-US"/>
              </w:rPr>
              <w:t>*</w:t>
            </w:r>
          </w:p>
          <w:p w:rsidR="0013290E" w:rsidRPr="00BE788D"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(5.61)</w:t>
            </w:r>
          </w:p>
        </w:tc>
      </w:tr>
      <w:tr w:rsidR="00445947" w:rsidRPr="00BE788D" w:rsidTr="004E7946">
        <w:trPr>
          <w:trHeight w:val="737"/>
        </w:trPr>
        <w:tc>
          <w:tcPr>
            <w:tcW w:w="1790" w:type="dxa"/>
            <w:vAlign w:val="center"/>
          </w:tcPr>
          <w:p w:rsidR="00445947" w:rsidRPr="00BE788D" w:rsidRDefault="005B19FE" w:rsidP="00BE788D">
            <w:pPr>
              <w:ind w:firstLine="0"/>
              <w:jc w:val="left"/>
              <w:rPr>
                <w:rFonts w:ascii="Times New Roman" w:hAnsi="Times New Roman" w:cs="Times New Roman"/>
                <w:b/>
                <w:sz w:val="22"/>
                <w:szCs w:val="22"/>
                <w:lang w:val="en-US"/>
              </w:rPr>
            </w:pPr>
            <w:r>
              <w:rPr>
                <w:rFonts w:ascii="Times New Roman" w:hAnsi="Times New Roman" w:cs="Times New Roman"/>
                <w:sz w:val="22"/>
                <w:szCs w:val="22"/>
                <w:lang w:val="en-US"/>
              </w:rPr>
              <w:t>Coef_ma2</w:t>
            </w:r>
          </w:p>
        </w:tc>
        <w:tc>
          <w:tcPr>
            <w:tcW w:w="1791" w:type="dxa"/>
            <w:vAlign w:val="center"/>
          </w:tcPr>
          <w:p w:rsidR="00445947" w:rsidRPr="00BE788D" w:rsidRDefault="00445947" w:rsidP="00BE788D">
            <w:pPr>
              <w:ind w:firstLine="0"/>
              <w:jc w:val="center"/>
              <w:rPr>
                <w:rFonts w:ascii="Times New Roman" w:hAnsi="Times New Roman" w:cs="Times New Roman"/>
                <w:b/>
                <w:sz w:val="22"/>
                <w:szCs w:val="22"/>
                <w:lang w:val="en-US"/>
              </w:rPr>
            </w:pPr>
          </w:p>
        </w:tc>
        <w:tc>
          <w:tcPr>
            <w:tcW w:w="1791" w:type="dxa"/>
            <w:vAlign w:val="center"/>
          </w:tcPr>
          <w:p w:rsidR="00445947" w:rsidRPr="00BE788D" w:rsidRDefault="00445947" w:rsidP="00504B26">
            <w:pPr>
              <w:ind w:firstLine="0"/>
              <w:jc w:val="center"/>
              <w:rPr>
                <w:rFonts w:ascii="Times New Roman" w:hAnsi="Times New Roman" w:cs="Times New Roman"/>
                <w:b/>
                <w:sz w:val="22"/>
                <w:szCs w:val="22"/>
                <w:lang w:val="en-US"/>
              </w:rPr>
            </w:pPr>
          </w:p>
        </w:tc>
        <w:tc>
          <w:tcPr>
            <w:tcW w:w="1791" w:type="dxa"/>
            <w:vAlign w:val="center"/>
          </w:tcPr>
          <w:p w:rsidR="00445947" w:rsidRDefault="00445947" w:rsidP="004E7946">
            <w:pPr>
              <w:ind w:firstLine="0"/>
              <w:jc w:val="center"/>
              <w:rPr>
                <w:rFonts w:ascii="Times New Roman" w:hAnsi="Times New Roman" w:cs="Times New Roman"/>
                <w:b/>
                <w:sz w:val="22"/>
                <w:szCs w:val="22"/>
                <w:lang w:val="en-US"/>
              </w:rPr>
            </w:pPr>
          </w:p>
        </w:tc>
        <w:tc>
          <w:tcPr>
            <w:tcW w:w="1791" w:type="dxa"/>
            <w:vAlign w:val="center"/>
          </w:tcPr>
          <w:p w:rsidR="00445947"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0.3443</w:t>
            </w:r>
            <w:r w:rsidR="000E59A8">
              <w:rPr>
                <w:rFonts w:ascii="Times New Roman" w:hAnsi="Times New Roman" w:cs="Times New Roman"/>
                <w:sz w:val="22"/>
                <w:szCs w:val="22"/>
                <w:lang w:val="en-US"/>
              </w:rPr>
              <w:t>*</w:t>
            </w:r>
          </w:p>
          <w:p w:rsidR="0013290E"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(3.65)</w:t>
            </w:r>
          </w:p>
        </w:tc>
      </w:tr>
      <w:tr w:rsidR="005B19FE" w:rsidRPr="00BE788D" w:rsidTr="004E7946">
        <w:trPr>
          <w:trHeight w:val="737"/>
        </w:trPr>
        <w:tc>
          <w:tcPr>
            <w:tcW w:w="1790" w:type="dxa"/>
            <w:vAlign w:val="center"/>
          </w:tcPr>
          <w:p w:rsidR="005B19FE" w:rsidRPr="00BE788D" w:rsidRDefault="005B19FE" w:rsidP="005B19FE">
            <w:pPr>
              <w:ind w:firstLine="0"/>
              <w:jc w:val="left"/>
              <w:rPr>
                <w:rFonts w:ascii="Times New Roman" w:hAnsi="Times New Roman" w:cs="Times New Roman"/>
                <w:b/>
                <w:sz w:val="22"/>
                <w:szCs w:val="22"/>
                <w:lang w:val="en-US"/>
              </w:rPr>
            </w:pPr>
            <w:r>
              <w:rPr>
                <w:rFonts w:ascii="Times New Roman" w:hAnsi="Times New Roman" w:cs="Times New Roman"/>
                <w:sz w:val="22"/>
                <w:szCs w:val="22"/>
                <w:lang w:val="en-US"/>
              </w:rPr>
              <w:t>Coef_ma3</w:t>
            </w:r>
          </w:p>
        </w:tc>
        <w:tc>
          <w:tcPr>
            <w:tcW w:w="1791" w:type="dxa"/>
            <w:vAlign w:val="center"/>
          </w:tcPr>
          <w:p w:rsidR="005B19FE" w:rsidRDefault="005B19FE" w:rsidP="005B19FE">
            <w:pPr>
              <w:ind w:firstLine="0"/>
              <w:jc w:val="center"/>
              <w:rPr>
                <w:rFonts w:ascii="Times New Roman" w:hAnsi="Times New Roman" w:cs="Times New Roman"/>
                <w:b/>
                <w:sz w:val="22"/>
                <w:szCs w:val="22"/>
                <w:lang w:val="en-US"/>
              </w:rPr>
            </w:pPr>
          </w:p>
        </w:tc>
        <w:tc>
          <w:tcPr>
            <w:tcW w:w="1791" w:type="dxa"/>
            <w:vAlign w:val="center"/>
          </w:tcPr>
          <w:p w:rsidR="005B19FE" w:rsidRDefault="005B19FE" w:rsidP="005B19FE">
            <w:pPr>
              <w:ind w:firstLine="0"/>
              <w:jc w:val="center"/>
              <w:rPr>
                <w:rFonts w:ascii="Times New Roman" w:hAnsi="Times New Roman" w:cs="Times New Roman"/>
                <w:b/>
                <w:sz w:val="22"/>
                <w:szCs w:val="22"/>
                <w:lang w:val="en-US"/>
              </w:rPr>
            </w:pPr>
          </w:p>
        </w:tc>
        <w:tc>
          <w:tcPr>
            <w:tcW w:w="1791" w:type="dxa"/>
            <w:vAlign w:val="center"/>
          </w:tcPr>
          <w:p w:rsidR="005B19FE" w:rsidRDefault="005B19FE" w:rsidP="004E7946">
            <w:pPr>
              <w:ind w:firstLine="0"/>
              <w:jc w:val="center"/>
              <w:rPr>
                <w:rFonts w:ascii="Times New Roman" w:hAnsi="Times New Roman" w:cs="Times New Roman"/>
                <w:b/>
                <w:sz w:val="22"/>
                <w:szCs w:val="22"/>
                <w:lang w:val="en-US"/>
              </w:rPr>
            </w:pPr>
          </w:p>
        </w:tc>
        <w:tc>
          <w:tcPr>
            <w:tcW w:w="1791" w:type="dxa"/>
            <w:vAlign w:val="center"/>
          </w:tcPr>
          <w:p w:rsidR="005B19FE"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0.1588</w:t>
            </w:r>
            <w:r w:rsidR="000E59A8">
              <w:rPr>
                <w:rFonts w:ascii="Times New Roman" w:hAnsi="Times New Roman" w:cs="Times New Roman"/>
                <w:sz w:val="22"/>
                <w:szCs w:val="22"/>
                <w:lang w:val="en-US"/>
              </w:rPr>
              <w:t>**</w:t>
            </w:r>
          </w:p>
          <w:p w:rsidR="0013290E"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(1.99)</w:t>
            </w:r>
          </w:p>
        </w:tc>
      </w:tr>
      <w:tr w:rsidR="005B19FE" w:rsidRPr="00BE788D" w:rsidTr="004E7946">
        <w:trPr>
          <w:trHeight w:val="737"/>
        </w:trPr>
        <w:tc>
          <w:tcPr>
            <w:tcW w:w="1790" w:type="dxa"/>
            <w:vAlign w:val="center"/>
          </w:tcPr>
          <w:p w:rsidR="005B19FE" w:rsidRPr="00BE788D" w:rsidRDefault="005B19FE" w:rsidP="005B19FE">
            <w:pPr>
              <w:ind w:firstLine="0"/>
              <w:jc w:val="left"/>
              <w:rPr>
                <w:rFonts w:ascii="Times New Roman" w:hAnsi="Times New Roman" w:cs="Times New Roman"/>
                <w:b/>
                <w:sz w:val="22"/>
                <w:szCs w:val="22"/>
                <w:lang w:val="en-US"/>
              </w:rPr>
            </w:pPr>
            <w:r w:rsidRPr="00BE788D">
              <w:rPr>
                <w:rFonts w:ascii="Times New Roman" w:hAnsi="Times New Roman" w:cs="Times New Roman"/>
                <w:sz w:val="22"/>
                <w:szCs w:val="22"/>
                <w:lang w:val="en-US"/>
              </w:rPr>
              <w:t>SSR</w:t>
            </w:r>
          </w:p>
        </w:tc>
        <w:tc>
          <w:tcPr>
            <w:tcW w:w="1791" w:type="dxa"/>
            <w:vAlign w:val="center"/>
          </w:tcPr>
          <w:p w:rsidR="005B19FE" w:rsidRPr="00BE788D" w:rsidRDefault="00015D1B" w:rsidP="005B19FE">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0.0090256</w:t>
            </w:r>
          </w:p>
        </w:tc>
        <w:tc>
          <w:tcPr>
            <w:tcW w:w="1791" w:type="dxa"/>
            <w:vAlign w:val="center"/>
          </w:tcPr>
          <w:p w:rsidR="005B19FE" w:rsidRPr="00BE788D" w:rsidRDefault="003D62B2" w:rsidP="005B19FE">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0.0092918</w:t>
            </w:r>
          </w:p>
        </w:tc>
        <w:tc>
          <w:tcPr>
            <w:tcW w:w="1791" w:type="dxa"/>
            <w:vAlign w:val="center"/>
          </w:tcPr>
          <w:p w:rsidR="005B19FE" w:rsidRDefault="00A07507"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0.009517</w:t>
            </w:r>
          </w:p>
        </w:tc>
        <w:tc>
          <w:tcPr>
            <w:tcW w:w="1791" w:type="dxa"/>
            <w:vAlign w:val="center"/>
          </w:tcPr>
          <w:p w:rsidR="005B19FE" w:rsidRDefault="0013290E"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0.0085673</w:t>
            </w:r>
          </w:p>
        </w:tc>
      </w:tr>
      <w:tr w:rsidR="005B19FE" w:rsidRPr="00BE788D" w:rsidTr="004E7946">
        <w:trPr>
          <w:trHeight w:val="737"/>
        </w:trPr>
        <w:tc>
          <w:tcPr>
            <w:tcW w:w="1790" w:type="dxa"/>
            <w:vAlign w:val="center"/>
          </w:tcPr>
          <w:p w:rsidR="005B19FE" w:rsidRPr="00BE788D" w:rsidRDefault="005B19FE" w:rsidP="005B19FE">
            <w:pPr>
              <w:ind w:firstLine="0"/>
              <w:jc w:val="left"/>
              <w:rPr>
                <w:rFonts w:ascii="Times New Roman" w:hAnsi="Times New Roman" w:cs="Times New Roman"/>
                <w:b/>
                <w:sz w:val="22"/>
                <w:szCs w:val="22"/>
                <w:lang w:val="en-US"/>
              </w:rPr>
            </w:pPr>
            <w:r w:rsidRPr="00BE788D">
              <w:rPr>
                <w:rFonts w:ascii="Times New Roman" w:hAnsi="Times New Roman" w:cs="Times New Roman"/>
                <w:sz w:val="22"/>
                <w:szCs w:val="22"/>
                <w:lang w:val="en-US"/>
              </w:rPr>
              <w:t>AIC</w:t>
            </w:r>
          </w:p>
        </w:tc>
        <w:tc>
          <w:tcPr>
            <w:tcW w:w="1791" w:type="dxa"/>
            <w:vAlign w:val="center"/>
          </w:tcPr>
          <w:p w:rsidR="005B19FE" w:rsidRPr="00BE788D" w:rsidRDefault="00015D1B" w:rsidP="005B19FE">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-1106.526</w:t>
            </w:r>
          </w:p>
        </w:tc>
        <w:tc>
          <w:tcPr>
            <w:tcW w:w="1791" w:type="dxa"/>
            <w:vAlign w:val="center"/>
          </w:tcPr>
          <w:p w:rsidR="005B19FE" w:rsidRPr="00BE788D" w:rsidRDefault="00FC5300" w:rsidP="005B19FE">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-1110.153</w:t>
            </w:r>
          </w:p>
        </w:tc>
        <w:tc>
          <w:tcPr>
            <w:tcW w:w="1791" w:type="dxa"/>
            <w:vAlign w:val="center"/>
          </w:tcPr>
          <w:p w:rsidR="005B19FE" w:rsidRDefault="00FC5300"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-1110.625</w:t>
            </w:r>
          </w:p>
        </w:tc>
        <w:tc>
          <w:tcPr>
            <w:tcW w:w="1791" w:type="dxa"/>
            <w:vAlign w:val="center"/>
          </w:tcPr>
          <w:p w:rsidR="005B19FE" w:rsidRDefault="00FC5300"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-1098.136</w:t>
            </w:r>
          </w:p>
        </w:tc>
      </w:tr>
      <w:tr w:rsidR="005B19FE" w:rsidRPr="00BE788D" w:rsidTr="004E7946">
        <w:trPr>
          <w:trHeight w:val="737"/>
        </w:trPr>
        <w:tc>
          <w:tcPr>
            <w:tcW w:w="1790" w:type="dxa"/>
            <w:vAlign w:val="center"/>
          </w:tcPr>
          <w:p w:rsidR="005B19FE" w:rsidRPr="00BE788D" w:rsidRDefault="005B19FE" w:rsidP="005B19FE">
            <w:pPr>
              <w:ind w:firstLine="0"/>
              <w:jc w:val="left"/>
              <w:rPr>
                <w:rFonts w:ascii="Times New Roman" w:hAnsi="Times New Roman" w:cs="Times New Roman"/>
                <w:b/>
                <w:sz w:val="22"/>
                <w:szCs w:val="22"/>
                <w:lang w:val="en-US"/>
              </w:rPr>
            </w:pPr>
            <w:r w:rsidRPr="00BE788D">
              <w:rPr>
                <w:rFonts w:ascii="Times New Roman" w:hAnsi="Times New Roman" w:cs="Times New Roman"/>
                <w:sz w:val="22"/>
                <w:szCs w:val="22"/>
                <w:lang w:val="en-US"/>
              </w:rPr>
              <w:t>BIC</w:t>
            </w:r>
          </w:p>
        </w:tc>
        <w:tc>
          <w:tcPr>
            <w:tcW w:w="1791" w:type="dxa"/>
            <w:vAlign w:val="center"/>
          </w:tcPr>
          <w:p w:rsidR="005B19FE" w:rsidRPr="00BE788D" w:rsidRDefault="00015D1B" w:rsidP="005B19FE">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-1094.404</w:t>
            </w:r>
          </w:p>
        </w:tc>
        <w:tc>
          <w:tcPr>
            <w:tcW w:w="1791" w:type="dxa"/>
            <w:vAlign w:val="center"/>
          </w:tcPr>
          <w:p w:rsidR="005B19FE" w:rsidRPr="00BE788D" w:rsidRDefault="00FC5300" w:rsidP="005B19FE">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-1095.001</w:t>
            </w:r>
          </w:p>
        </w:tc>
        <w:tc>
          <w:tcPr>
            <w:tcW w:w="1791" w:type="dxa"/>
            <w:vAlign w:val="center"/>
          </w:tcPr>
          <w:p w:rsidR="005B19FE" w:rsidRDefault="00FC5300"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-1095.473</w:t>
            </w:r>
          </w:p>
        </w:tc>
        <w:tc>
          <w:tcPr>
            <w:tcW w:w="1791" w:type="dxa"/>
            <w:vAlign w:val="center"/>
          </w:tcPr>
          <w:p w:rsidR="005B19FE" w:rsidRDefault="00FC5300" w:rsidP="004E7946">
            <w:pPr>
              <w:ind w:firstLine="0"/>
              <w:jc w:val="center"/>
              <w:rPr>
                <w:rFonts w:ascii="Times New Roman" w:hAnsi="Times New Roman" w:cs="Times New Roman"/>
                <w:b/>
                <w:sz w:val="22"/>
                <w:szCs w:val="22"/>
                <w:lang w:val="en-US"/>
              </w:rPr>
            </w:pPr>
            <w:r>
              <w:rPr>
                <w:rFonts w:ascii="Times New Roman" w:hAnsi="Times New Roman" w:cs="Times New Roman"/>
                <w:sz w:val="22"/>
                <w:szCs w:val="22"/>
                <w:lang w:val="en-US"/>
              </w:rPr>
              <w:t>-1080.753</w:t>
            </w:r>
          </w:p>
        </w:tc>
      </w:tr>
    </w:tbl>
    <w:p w:rsidR="00432EA6" w:rsidRPr="007A3419" w:rsidRDefault="002E0730" w:rsidP="00504B26">
      <w:pPr>
        <w:spacing w:line="240" w:lineRule="auto"/>
        <w:ind w:firstLine="0"/>
        <w:rPr>
          <w:rFonts w:ascii="Times New Roman" w:hAnsi="Times New Roman" w:cs="Times New Roman"/>
          <w:b/>
          <w:sz w:val="20"/>
          <w:szCs w:val="20"/>
          <w:lang w:val="en-US"/>
        </w:rPr>
      </w:pPr>
      <w:r w:rsidRPr="007A3419">
        <w:rPr>
          <w:rFonts w:ascii="Times New Roman" w:hAnsi="Times New Roman" w:cs="Times New Roman"/>
          <w:sz w:val="20"/>
          <w:szCs w:val="20"/>
          <w:lang w:val="en-US"/>
        </w:rPr>
        <w:t>Note: * shows 1% significance level and ** shows 5% significance level.</w:t>
      </w:r>
      <w:r w:rsidR="00504B26" w:rsidRPr="007A3419">
        <w:rPr>
          <w:rFonts w:ascii="Times New Roman" w:hAnsi="Times New Roman" w:cs="Times New Roman"/>
          <w:sz w:val="20"/>
          <w:szCs w:val="20"/>
          <w:lang w:val="en-US"/>
        </w:rPr>
        <w:t xml:space="preserve"> The values in parenthesis show the Z-values.</w:t>
      </w:r>
    </w:p>
    <w:p w:rsidR="0074445C" w:rsidRDefault="0074445C" w:rsidP="00CF74FD">
      <w:pPr>
        <w:ind w:firstLine="0"/>
        <w:rPr>
          <w:rFonts w:ascii="Times New Roman" w:hAnsi="Times New Roman" w:cs="Times New Roman"/>
          <w:b/>
          <w:sz w:val="24"/>
          <w:szCs w:val="24"/>
          <w:lang w:val="en-US"/>
        </w:rPr>
      </w:pPr>
    </w:p>
    <w:p w:rsidR="001A1133" w:rsidRDefault="006937DB" w:rsidP="007A3419">
      <w:p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All four models above are used for Chow test. It is assumed that </w:t>
      </w:r>
      <w:r w:rsidR="001F4FBF">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break date is known as introduction of </w:t>
      </w:r>
      <w:r w:rsidR="001F4FBF">
        <w:rPr>
          <w:rFonts w:ascii="Times New Roman" w:hAnsi="Times New Roman" w:cs="Times New Roman"/>
          <w:sz w:val="24"/>
          <w:szCs w:val="24"/>
          <w:lang w:val="en-US"/>
        </w:rPr>
        <w:t>MNP</w:t>
      </w:r>
      <w:r>
        <w:rPr>
          <w:rFonts w:ascii="Times New Roman" w:hAnsi="Times New Roman" w:cs="Times New Roman"/>
          <w:sz w:val="24"/>
          <w:szCs w:val="24"/>
          <w:lang w:val="en-US"/>
        </w:rPr>
        <w:t xml:space="preserve">. First sub-sample includes first 86 observations and second sub-sample is consisted of remaining 67 observations. Table 3 shows the results of test statistics and relevant critical values for different models. According to these results, the null hypothesis that there is no structural break is rejected for 1% significant level for all four models. Therefore, it can be claimed that there is a structural break at the period of introduction of </w:t>
      </w:r>
      <w:r w:rsidR="00E052C7">
        <w:rPr>
          <w:rFonts w:ascii="Times New Roman" w:hAnsi="Times New Roman" w:cs="Times New Roman"/>
          <w:sz w:val="24"/>
          <w:szCs w:val="24"/>
          <w:lang w:val="en-US"/>
        </w:rPr>
        <w:t>MNP</w:t>
      </w:r>
      <w:r>
        <w:rPr>
          <w:rFonts w:ascii="Times New Roman" w:hAnsi="Times New Roman" w:cs="Times New Roman"/>
          <w:sz w:val="24"/>
          <w:szCs w:val="24"/>
          <w:lang w:val="en-US"/>
        </w:rPr>
        <w:t>.</w:t>
      </w:r>
    </w:p>
    <w:p w:rsidR="007A3419" w:rsidRDefault="007A3419" w:rsidP="007A3419">
      <w:pPr>
        <w:spacing w:line="240" w:lineRule="auto"/>
        <w:ind w:firstLine="0"/>
        <w:rPr>
          <w:rFonts w:ascii="Times New Roman" w:hAnsi="Times New Roman" w:cs="Times New Roman"/>
          <w:b/>
          <w:sz w:val="24"/>
          <w:szCs w:val="24"/>
          <w:lang w:val="en-US"/>
        </w:rPr>
      </w:pPr>
    </w:p>
    <w:p w:rsidR="00DE56EF" w:rsidRPr="00DE56EF" w:rsidRDefault="00DE56EF" w:rsidP="007A3419">
      <w:pPr>
        <w:spacing w:line="276" w:lineRule="auto"/>
        <w:ind w:firstLine="0"/>
        <w:rPr>
          <w:rFonts w:ascii="Times New Roman" w:hAnsi="Times New Roman" w:cs="Times New Roman"/>
          <w:sz w:val="24"/>
          <w:szCs w:val="24"/>
          <w:lang w:val="en-US"/>
        </w:rPr>
      </w:pPr>
      <w:r w:rsidRPr="00DE56EF">
        <w:rPr>
          <w:rFonts w:ascii="Times New Roman" w:hAnsi="Times New Roman" w:cs="Times New Roman"/>
          <w:sz w:val="24"/>
          <w:szCs w:val="24"/>
          <w:lang w:val="en-US"/>
        </w:rPr>
        <w:t>Table 3: Results of Chow Test</w:t>
      </w:r>
    </w:p>
    <w:tbl>
      <w:tblPr>
        <w:tblStyle w:val="Tabel-Gitter"/>
        <w:tblW w:w="0" w:type="auto"/>
        <w:tblLook w:val="04A0" w:firstRow="1" w:lastRow="0" w:firstColumn="1" w:lastColumn="0" w:noHBand="0" w:noVBand="1"/>
      </w:tblPr>
      <w:tblGrid>
        <w:gridCol w:w="2405"/>
        <w:gridCol w:w="1664"/>
        <w:gridCol w:w="1664"/>
        <w:gridCol w:w="1664"/>
        <w:gridCol w:w="1665"/>
      </w:tblGrid>
      <w:tr w:rsidR="00AC5ACF" w:rsidTr="00FC2C8C">
        <w:trPr>
          <w:trHeight w:val="397"/>
        </w:trPr>
        <w:tc>
          <w:tcPr>
            <w:tcW w:w="2405" w:type="dxa"/>
          </w:tcPr>
          <w:p w:rsidR="00AC5ACF" w:rsidRDefault="00AC5ACF" w:rsidP="00CF74FD">
            <w:pPr>
              <w:ind w:firstLine="0"/>
              <w:rPr>
                <w:rFonts w:ascii="Times New Roman" w:hAnsi="Times New Roman" w:cs="Times New Roman"/>
                <w:b/>
                <w:sz w:val="24"/>
                <w:szCs w:val="24"/>
                <w:lang w:val="en-US"/>
              </w:rPr>
            </w:pPr>
          </w:p>
        </w:tc>
        <w:tc>
          <w:tcPr>
            <w:tcW w:w="1664" w:type="dxa"/>
            <w:vAlign w:val="center"/>
          </w:tcPr>
          <w:p w:rsidR="00AC5ACF" w:rsidRPr="00FC2C8C" w:rsidRDefault="00AC5ACF" w:rsidP="00FC2C8C">
            <w:pPr>
              <w:ind w:firstLine="0"/>
              <w:jc w:val="center"/>
              <w:rPr>
                <w:rFonts w:ascii="Times New Roman" w:hAnsi="Times New Roman" w:cs="Times New Roman"/>
                <w:sz w:val="24"/>
                <w:szCs w:val="24"/>
                <w:lang w:val="en-US"/>
              </w:rPr>
            </w:pPr>
            <w:r w:rsidRPr="00FC2C8C">
              <w:rPr>
                <w:rFonts w:ascii="Times New Roman" w:hAnsi="Times New Roman" w:cs="Times New Roman"/>
                <w:sz w:val="24"/>
                <w:szCs w:val="24"/>
                <w:lang w:val="en-US"/>
              </w:rPr>
              <w:t>Model 1</w:t>
            </w:r>
          </w:p>
        </w:tc>
        <w:tc>
          <w:tcPr>
            <w:tcW w:w="1664" w:type="dxa"/>
            <w:vAlign w:val="center"/>
          </w:tcPr>
          <w:p w:rsidR="00AC5ACF" w:rsidRPr="00FC2C8C" w:rsidRDefault="00AC5ACF" w:rsidP="00FC2C8C">
            <w:pPr>
              <w:ind w:firstLine="0"/>
              <w:jc w:val="center"/>
              <w:rPr>
                <w:rFonts w:ascii="Times New Roman" w:hAnsi="Times New Roman" w:cs="Times New Roman"/>
                <w:sz w:val="24"/>
                <w:szCs w:val="24"/>
                <w:lang w:val="en-US"/>
              </w:rPr>
            </w:pPr>
            <w:r w:rsidRPr="00FC2C8C">
              <w:rPr>
                <w:rFonts w:ascii="Times New Roman" w:hAnsi="Times New Roman" w:cs="Times New Roman"/>
                <w:sz w:val="24"/>
                <w:szCs w:val="24"/>
                <w:lang w:val="en-US"/>
              </w:rPr>
              <w:t>Model 2</w:t>
            </w:r>
          </w:p>
        </w:tc>
        <w:tc>
          <w:tcPr>
            <w:tcW w:w="1664" w:type="dxa"/>
            <w:vAlign w:val="center"/>
          </w:tcPr>
          <w:p w:rsidR="00AC5ACF" w:rsidRPr="00FC2C8C" w:rsidRDefault="00AC5ACF" w:rsidP="00FC2C8C">
            <w:pPr>
              <w:ind w:firstLine="0"/>
              <w:jc w:val="center"/>
              <w:rPr>
                <w:rFonts w:ascii="Times New Roman" w:hAnsi="Times New Roman" w:cs="Times New Roman"/>
                <w:sz w:val="24"/>
                <w:szCs w:val="24"/>
                <w:lang w:val="en-US"/>
              </w:rPr>
            </w:pPr>
            <w:r w:rsidRPr="00FC2C8C">
              <w:rPr>
                <w:rFonts w:ascii="Times New Roman" w:hAnsi="Times New Roman" w:cs="Times New Roman"/>
                <w:sz w:val="24"/>
                <w:szCs w:val="24"/>
                <w:lang w:val="en-US"/>
              </w:rPr>
              <w:t>Model 3</w:t>
            </w:r>
          </w:p>
        </w:tc>
        <w:tc>
          <w:tcPr>
            <w:tcW w:w="1665" w:type="dxa"/>
            <w:vAlign w:val="center"/>
          </w:tcPr>
          <w:p w:rsidR="00AC5ACF" w:rsidRPr="00FC2C8C" w:rsidRDefault="00AC5ACF" w:rsidP="00FC2C8C">
            <w:pPr>
              <w:ind w:firstLine="0"/>
              <w:jc w:val="center"/>
              <w:rPr>
                <w:rFonts w:ascii="Times New Roman" w:hAnsi="Times New Roman" w:cs="Times New Roman"/>
                <w:sz w:val="24"/>
                <w:szCs w:val="24"/>
                <w:lang w:val="en-US"/>
              </w:rPr>
            </w:pPr>
            <w:r w:rsidRPr="00FC2C8C">
              <w:rPr>
                <w:rFonts w:ascii="Times New Roman" w:hAnsi="Times New Roman" w:cs="Times New Roman"/>
                <w:sz w:val="24"/>
                <w:szCs w:val="24"/>
                <w:lang w:val="en-US"/>
              </w:rPr>
              <w:t>Model 4</w:t>
            </w:r>
          </w:p>
        </w:tc>
      </w:tr>
      <w:tr w:rsidR="00AC5ACF" w:rsidTr="00FC2C8C">
        <w:trPr>
          <w:trHeight w:val="397"/>
        </w:trPr>
        <w:tc>
          <w:tcPr>
            <w:tcW w:w="2405" w:type="dxa"/>
            <w:vAlign w:val="center"/>
          </w:tcPr>
          <w:p w:rsidR="00AC5ACF" w:rsidRDefault="00AC5ACF" w:rsidP="00FC2C8C">
            <w:pPr>
              <w:ind w:firstLine="0"/>
              <w:jc w:val="left"/>
              <w:rPr>
                <w:rFonts w:ascii="Times New Roman" w:hAnsi="Times New Roman" w:cs="Times New Roman"/>
                <w:b/>
                <w:sz w:val="24"/>
                <w:szCs w:val="24"/>
                <w:lang w:val="en-US"/>
              </w:rPr>
            </w:pPr>
            <w:r>
              <w:rPr>
                <w:rFonts w:ascii="Times New Roman" w:hAnsi="Times New Roman" w:cs="Times New Roman"/>
                <w:sz w:val="24"/>
                <w:szCs w:val="24"/>
                <w:lang w:val="en-US"/>
              </w:rPr>
              <w:t>Test Statistics</w:t>
            </w:r>
          </w:p>
        </w:tc>
        <w:tc>
          <w:tcPr>
            <w:tcW w:w="1664" w:type="dxa"/>
            <w:vAlign w:val="center"/>
          </w:tcPr>
          <w:p w:rsidR="00AC5ACF" w:rsidRDefault="00745573"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8.806</w:t>
            </w:r>
          </w:p>
        </w:tc>
        <w:tc>
          <w:tcPr>
            <w:tcW w:w="1664" w:type="dxa"/>
            <w:vAlign w:val="center"/>
          </w:tcPr>
          <w:p w:rsidR="00AC5ACF" w:rsidRDefault="0062223C"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6.011</w:t>
            </w:r>
          </w:p>
        </w:tc>
        <w:tc>
          <w:tcPr>
            <w:tcW w:w="1664" w:type="dxa"/>
            <w:vAlign w:val="center"/>
          </w:tcPr>
          <w:p w:rsidR="00AC5ACF" w:rsidRDefault="00A2668C"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5.560</w:t>
            </w:r>
          </w:p>
        </w:tc>
        <w:tc>
          <w:tcPr>
            <w:tcW w:w="1665" w:type="dxa"/>
            <w:vAlign w:val="center"/>
          </w:tcPr>
          <w:p w:rsidR="00AC5ACF" w:rsidRDefault="003C5E6E"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4.262</w:t>
            </w:r>
          </w:p>
        </w:tc>
      </w:tr>
      <w:tr w:rsidR="00AC5ACF" w:rsidTr="00FC2C8C">
        <w:trPr>
          <w:trHeight w:val="397"/>
        </w:trPr>
        <w:tc>
          <w:tcPr>
            <w:tcW w:w="2405" w:type="dxa"/>
            <w:vAlign w:val="center"/>
          </w:tcPr>
          <w:p w:rsidR="00AC5ACF" w:rsidRDefault="00AC5ACF" w:rsidP="00FC2C8C">
            <w:pPr>
              <w:ind w:firstLine="0"/>
              <w:jc w:val="left"/>
              <w:rPr>
                <w:rFonts w:ascii="Times New Roman" w:hAnsi="Times New Roman" w:cs="Times New Roman"/>
                <w:b/>
                <w:sz w:val="24"/>
                <w:szCs w:val="24"/>
                <w:lang w:val="en-US"/>
              </w:rPr>
            </w:pPr>
            <w:r>
              <w:rPr>
                <w:rFonts w:ascii="Times New Roman" w:hAnsi="Times New Roman" w:cs="Times New Roman"/>
                <w:sz w:val="24"/>
                <w:szCs w:val="24"/>
                <w:lang w:val="en-US"/>
              </w:rPr>
              <w:t>F critical value (1%)</w:t>
            </w:r>
          </w:p>
        </w:tc>
        <w:tc>
          <w:tcPr>
            <w:tcW w:w="1664" w:type="dxa"/>
            <w:vAlign w:val="center"/>
          </w:tcPr>
          <w:p w:rsidR="00AC5ACF" w:rsidRDefault="006C7F75"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3.917</w:t>
            </w:r>
          </w:p>
        </w:tc>
        <w:tc>
          <w:tcPr>
            <w:tcW w:w="1664" w:type="dxa"/>
            <w:vAlign w:val="center"/>
          </w:tcPr>
          <w:p w:rsidR="00AC5ACF" w:rsidRDefault="0062223C"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3.451</w:t>
            </w:r>
          </w:p>
        </w:tc>
        <w:tc>
          <w:tcPr>
            <w:tcW w:w="1664" w:type="dxa"/>
            <w:vAlign w:val="center"/>
          </w:tcPr>
          <w:p w:rsidR="00AC5ACF" w:rsidRDefault="00A2668C"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3.451</w:t>
            </w:r>
          </w:p>
        </w:tc>
        <w:tc>
          <w:tcPr>
            <w:tcW w:w="1665" w:type="dxa"/>
            <w:vAlign w:val="center"/>
          </w:tcPr>
          <w:p w:rsidR="00AC5ACF" w:rsidRDefault="003C5E6E"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3.147</w:t>
            </w:r>
          </w:p>
        </w:tc>
      </w:tr>
      <w:tr w:rsidR="00AC5ACF" w:rsidTr="00FC2C8C">
        <w:trPr>
          <w:trHeight w:val="397"/>
        </w:trPr>
        <w:tc>
          <w:tcPr>
            <w:tcW w:w="2405" w:type="dxa"/>
            <w:vAlign w:val="center"/>
          </w:tcPr>
          <w:p w:rsidR="00AC5ACF" w:rsidRDefault="00AC5ACF" w:rsidP="00FC2C8C">
            <w:pPr>
              <w:ind w:firstLine="0"/>
              <w:jc w:val="left"/>
              <w:rPr>
                <w:rFonts w:ascii="Times New Roman" w:hAnsi="Times New Roman" w:cs="Times New Roman"/>
                <w:b/>
                <w:sz w:val="24"/>
                <w:szCs w:val="24"/>
                <w:lang w:val="en-US"/>
              </w:rPr>
            </w:pPr>
            <w:r>
              <w:rPr>
                <w:rFonts w:ascii="Times New Roman" w:hAnsi="Times New Roman" w:cs="Times New Roman"/>
                <w:sz w:val="24"/>
                <w:szCs w:val="24"/>
                <w:lang w:val="en-US"/>
              </w:rPr>
              <w:t>F critical value (5%)</w:t>
            </w:r>
          </w:p>
        </w:tc>
        <w:tc>
          <w:tcPr>
            <w:tcW w:w="1664" w:type="dxa"/>
            <w:vAlign w:val="center"/>
          </w:tcPr>
          <w:p w:rsidR="00AC5ACF" w:rsidRDefault="006C7F75"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2.666</w:t>
            </w:r>
          </w:p>
        </w:tc>
        <w:tc>
          <w:tcPr>
            <w:tcW w:w="1664" w:type="dxa"/>
            <w:vAlign w:val="center"/>
          </w:tcPr>
          <w:p w:rsidR="00AC5ACF" w:rsidRDefault="0062223C"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2.434</w:t>
            </w:r>
          </w:p>
        </w:tc>
        <w:tc>
          <w:tcPr>
            <w:tcW w:w="1664" w:type="dxa"/>
            <w:vAlign w:val="center"/>
          </w:tcPr>
          <w:p w:rsidR="00AC5ACF" w:rsidRDefault="00A2668C"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2.434</w:t>
            </w:r>
          </w:p>
        </w:tc>
        <w:tc>
          <w:tcPr>
            <w:tcW w:w="1665" w:type="dxa"/>
            <w:vAlign w:val="center"/>
          </w:tcPr>
          <w:p w:rsidR="00AC5ACF" w:rsidRDefault="003C5E6E"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2.277</w:t>
            </w:r>
          </w:p>
        </w:tc>
      </w:tr>
      <w:tr w:rsidR="00AC5ACF" w:rsidTr="00FC2C8C">
        <w:trPr>
          <w:trHeight w:val="397"/>
        </w:trPr>
        <w:tc>
          <w:tcPr>
            <w:tcW w:w="2405" w:type="dxa"/>
            <w:vAlign w:val="center"/>
          </w:tcPr>
          <w:p w:rsidR="00AC5ACF" w:rsidRDefault="00AC5ACF" w:rsidP="00FC2C8C">
            <w:pPr>
              <w:ind w:firstLine="0"/>
              <w:jc w:val="left"/>
              <w:rPr>
                <w:rFonts w:ascii="Times New Roman" w:hAnsi="Times New Roman" w:cs="Times New Roman"/>
                <w:b/>
                <w:sz w:val="24"/>
                <w:szCs w:val="24"/>
                <w:lang w:val="en-US"/>
              </w:rPr>
            </w:pPr>
            <w:r>
              <w:rPr>
                <w:rFonts w:ascii="Times New Roman" w:hAnsi="Times New Roman" w:cs="Times New Roman"/>
                <w:sz w:val="24"/>
                <w:szCs w:val="24"/>
                <w:lang w:val="en-US"/>
              </w:rPr>
              <w:t>F critical value (10%)</w:t>
            </w:r>
          </w:p>
        </w:tc>
        <w:tc>
          <w:tcPr>
            <w:tcW w:w="1664" w:type="dxa"/>
            <w:vAlign w:val="center"/>
          </w:tcPr>
          <w:p w:rsidR="00AC5ACF" w:rsidRDefault="006C7F75"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2.121</w:t>
            </w:r>
          </w:p>
        </w:tc>
        <w:tc>
          <w:tcPr>
            <w:tcW w:w="1664" w:type="dxa"/>
            <w:vAlign w:val="center"/>
          </w:tcPr>
          <w:p w:rsidR="00AC5ACF" w:rsidRDefault="0062223C"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1.984</w:t>
            </w:r>
          </w:p>
        </w:tc>
        <w:tc>
          <w:tcPr>
            <w:tcW w:w="1664" w:type="dxa"/>
            <w:vAlign w:val="center"/>
          </w:tcPr>
          <w:p w:rsidR="00AC5ACF" w:rsidRDefault="00A2668C"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1.984</w:t>
            </w:r>
          </w:p>
        </w:tc>
        <w:tc>
          <w:tcPr>
            <w:tcW w:w="1665" w:type="dxa"/>
            <w:vAlign w:val="center"/>
          </w:tcPr>
          <w:p w:rsidR="00AC5ACF" w:rsidRDefault="003C5E6E"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1.887</w:t>
            </w:r>
          </w:p>
        </w:tc>
      </w:tr>
      <w:tr w:rsidR="00AC5ACF" w:rsidTr="00FC2C8C">
        <w:trPr>
          <w:trHeight w:val="397"/>
        </w:trPr>
        <w:tc>
          <w:tcPr>
            <w:tcW w:w="2405" w:type="dxa"/>
            <w:vAlign w:val="center"/>
          </w:tcPr>
          <w:p w:rsidR="00AC5ACF" w:rsidRDefault="00AC5ACF" w:rsidP="00FC2C8C">
            <w:pPr>
              <w:ind w:firstLine="0"/>
              <w:jc w:val="left"/>
              <w:rPr>
                <w:rFonts w:ascii="Times New Roman" w:hAnsi="Times New Roman" w:cs="Times New Roman"/>
                <w:b/>
                <w:sz w:val="24"/>
                <w:szCs w:val="24"/>
                <w:lang w:val="en-US"/>
              </w:rPr>
            </w:pPr>
          </w:p>
        </w:tc>
        <w:tc>
          <w:tcPr>
            <w:tcW w:w="1664" w:type="dxa"/>
            <w:vAlign w:val="center"/>
          </w:tcPr>
          <w:p w:rsidR="00AC5ACF" w:rsidRPr="00AC5ACF" w:rsidRDefault="00AC5ACF" w:rsidP="00FC2C8C">
            <w:pPr>
              <w:ind w:firstLine="0"/>
              <w:jc w:val="center"/>
              <w:rPr>
                <w:rFonts w:ascii="Times New Roman" w:hAnsi="Times New Roman" w:cs="Times New Roman"/>
                <w:b/>
                <w:sz w:val="24"/>
                <w:szCs w:val="24"/>
                <w:vertAlign w:val="subscript"/>
                <w:lang w:val="en-US"/>
              </w:rPr>
            </w:pPr>
            <w:r>
              <w:rPr>
                <w:rFonts w:ascii="Times New Roman" w:hAnsi="Times New Roman" w:cs="Times New Roman"/>
                <w:sz w:val="24"/>
                <w:szCs w:val="24"/>
                <w:lang w:val="en-US"/>
              </w:rPr>
              <w:t>Reject H</w:t>
            </w:r>
            <w:r>
              <w:rPr>
                <w:rFonts w:ascii="Times New Roman" w:hAnsi="Times New Roman" w:cs="Times New Roman"/>
                <w:sz w:val="24"/>
                <w:szCs w:val="24"/>
                <w:vertAlign w:val="subscript"/>
                <w:lang w:val="en-US"/>
              </w:rPr>
              <w:t>0</w:t>
            </w:r>
          </w:p>
        </w:tc>
        <w:tc>
          <w:tcPr>
            <w:tcW w:w="1664" w:type="dxa"/>
            <w:vAlign w:val="center"/>
          </w:tcPr>
          <w:p w:rsidR="00AC5ACF" w:rsidRDefault="00AC5ACF"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Reject H</w:t>
            </w:r>
            <w:r>
              <w:rPr>
                <w:rFonts w:ascii="Times New Roman" w:hAnsi="Times New Roman" w:cs="Times New Roman"/>
                <w:sz w:val="24"/>
                <w:szCs w:val="24"/>
                <w:vertAlign w:val="subscript"/>
                <w:lang w:val="en-US"/>
              </w:rPr>
              <w:t>0</w:t>
            </w:r>
          </w:p>
        </w:tc>
        <w:tc>
          <w:tcPr>
            <w:tcW w:w="1664" w:type="dxa"/>
            <w:vAlign w:val="center"/>
          </w:tcPr>
          <w:p w:rsidR="00AC5ACF" w:rsidRDefault="00AC5ACF"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Reject H</w:t>
            </w:r>
            <w:r>
              <w:rPr>
                <w:rFonts w:ascii="Times New Roman" w:hAnsi="Times New Roman" w:cs="Times New Roman"/>
                <w:sz w:val="24"/>
                <w:szCs w:val="24"/>
                <w:vertAlign w:val="subscript"/>
                <w:lang w:val="en-US"/>
              </w:rPr>
              <w:t>0</w:t>
            </w:r>
          </w:p>
        </w:tc>
        <w:tc>
          <w:tcPr>
            <w:tcW w:w="1665" w:type="dxa"/>
            <w:vAlign w:val="center"/>
          </w:tcPr>
          <w:p w:rsidR="00AC5ACF" w:rsidRDefault="00AC5ACF" w:rsidP="00FC2C8C">
            <w:pPr>
              <w:ind w:firstLine="0"/>
              <w:jc w:val="center"/>
              <w:rPr>
                <w:rFonts w:ascii="Times New Roman" w:hAnsi="Times New Roman" w:cs="Times New Roman"/>
                <w:b/>
                <w:sz w:val="24"/>
                <w:szCs w:val="24"/>
                <w:lang w:val="en-US"/>
              </w:rPr>
            </w:pPr>
            <w:r>
              <w:rPr>
                <w:rFonts w:ascii="Times New Roman" w:hAnsi="Times New Roman" w:cs="Times New Roman"/>
                <w:sz w:val="24"/>
                <w:szCs w:val="24"/>
                <w:lang w:val="en-US"/>
              </w:rPr>
              <w:t>Reject H</w:t>
            </w:r>
            <w:r>
              <w:rPr>
                <w:rFonts w:ascii="Times New Roman" w:hAnsi="Times New Roman" w:cs="Times New Roman"/>
                <w:sz w:val="24"/>
                <w:szCs w:val="24"/>
                <w:vertAlign w:val="subscript"/>
                <w:lang w:val="en-US"/>
              </w:rPr>
              <w:t>0</w:t>
            </w:r>
          </w:p>
        </w:tc>
      </w:tr>
    </w:tbl>
    <w:p w:rsidR="007D266C" w:rsidRDefault="007D266C" w:rsidP="00CF74FD">
      <w:pPr>
        <w:ind w:firstLine="0"/>
        <w:rPr>
          <w:rFonts w:ascii="Times New Roman" w:hAnsi="Times New Roman" w:cs="Times New Roman"/>
          <w:b/>
          <w:sz w:val="24"/>
          <w:szCs w:val="24"/>
          <w:lang w:val="en-US"/>
        </w:rPr>
      </w:pPr>
    </w:p>
    <w:p w:rsidR="00D61413" w:rsidRDefault="006937DB" w:rsidP="007A3419">
      <w:p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Nevertheless, some caution may be needed. First of all, it is assumed that there is only one known structural break. However, t</w:t>
      </w:r>
      <w:r w:rsidR="00D96B3D">
        <w:rPr>
          <w:rFonts w:ascii="Times New Roman" w:hAnsi="Times New Roman" w:cs="Times New Roman"/>
          <w:sz w:val="24"/>
          <w:szCs w:val="24"/>
          <w:lang w:val="en-US"/>
        </w:rPr>
        <w:t xml:space="preserve">here may be </w:t>
      </w:r>
      <w:r w:rsidR="00076105">
        <w:rPr>
          <w:rFonts w:ascii="Times New Roman" w:hAnsi="Times New Roman" w:cs="Times New Roman"/>
          <w:sz w:val="24"/>
          <w:szCs w:val="24"/>
          <w:lang w:val="en-US"/>
        </w:rPr>
        <w:t xml:space="preserve">more </w:t>
      </w:r>
      <w:r w:rsidR="00D96B3D">
        <w:rPr>
          <w:rFonts w:ascii="Times New Roman" w:hAnsi="Times New Roman" w:cs="Times New Roman"/>
          <w:sz w:val="24"/>
          <w:szCs w:val="24"/>
          <w:lang w:val="en-US"/>
        </w:rPr>
        <w:t xml:space="preserve">endogenous breaks. </w:t>
      </w:r>
      <w:r w:rsidR="00076105">
        <w:rPr>
          <w:rFonts w:ascii="Times New Roman" w:hAnsi="Times New Roman" w:cs="Times New Roman"/>
          <w:sz w:val="24"/>
          <w:szCs w:val="24"/>
          <w:lang w:val="en-US"/>
        </w:rPr>
        <w:t>Secondly, the sample size is limited while it may be more interesting to examine larger sample</w:t>
      </w:r>
      <w:r w:rsidR="00E052C7">
        <w:rPr>
          <w:rFonts w:ascii="Times New Roman" w:hAnsi="Times New Roman" w:cs="Times New Roman"/>
          <w:sz w:val="24"/>
          <w:szCs w:val="24"/>
          <w:lang w:val="en-US"/>
        </w:rPr>
        <w:t>s</w:t>
      </w:r>
      <w:r w:rsidR="00076105">
        <w:rPr>
          <w:rFonts w:ascii="Times New Roman" w:hAnsi="Times New Roman" w:cs="Times New Roman"/>
          <w:sz w:val="24"/>
          <w:szCs w:val="24"/>
          <w:lang w:val="en-US"/>
        </w:rPr>
        <w:t xml:space="preserve"> consis</w:t>
      </w:r>
      <w:r w:rsidR="00F460B7">
        <w:rPr>
          <w:rFonts w:ascii="Times New Roman" w:hAnsi="Times New Roman" w:cs="Times New Roman"/>
          <w:sz w:val="24"/>
          <w:szCs w:val="24"/>
          <w:lang w:val="en-US"/>
        </w:rPr>
        <w:t xml:space="preserve">ting </w:t>
      </w:r>
      <w:r w:rsidR="00E052C7">
        <w:rPr>
          <w:rFonts w:ascii="Times New Roman" w:hAnsi="Times New Roman" w:cs="Times New Roman"/>
          <w:sz w:val="24"/>
          <w:szCs w:val="24"/>
          <w:lang w:val="en-US"/>
        </w:rPr>
        <w:t xml:space="preserve">of </w:t>
      </w:r>
      <w:r w:rsidR="00F460B7">
        <w:rPr>
          <w:rFonts w:ascii="Times New Roman" w:hAnsi="Times New Roman" w:cs="Times New Roman"/>
          <w:sz w:val="24"/>
          <w:szCs w:val="24"/>
          <w:lang w:val="en-US"/>
        </w:rPr>
        <w:t>prior data of 2002. Thirdly</w:t>
      </w:r>
      <w:r w:rsidR="00076105">
        <w:rPr>
          <w:rFonts w:ascii="Times New Roman" w:hAnsi="Times New Roman" w:cs="Times New Roman"/>
          <w:sz w:val="24"/>
          <w:szCs w:val="24"/>
          <w:lang w:val="en-US"/>
        </w:rPr>
        <w:t xml:space="preserve">, there was a recession in 2009 due to effect of global financial crises. </w:t>
      </w:r>
      <w:r w:rsidR="00F460B7">
        <w:rPr>
          <w:rFonts w:ascii="Times New Roman" w:hAnsi="Times New Roman" w:cs="Times New Roman"/>
          <w:sz w:val="24"/>
          <w:szCs w:val="24"/>
          <w:lang w:val="en-US"/>
        </w:rPr>
        <w:t>Besides, since new innovation</w:t>
      </w:r>
      <w:r w:rsidR="00E052C7">
        <w:rPr>
          <w:rFonts w:ascii="Times New Roman" w:hAnsi="Times New Roman" w:cs="Times New Roman"/>
          <w:sz w:val="24"/>
          <w:szCs w:val="24"/>
          <w:lang w:val="en-US"/>
        </w:rPr>
        <w:t>s</w:t>
      </w:r>
      <w:r w:rsidR="00F460B7">
        <w:rPr>
          <w:rFonts w:ascii="Times New Roman" w:hAnsi="Times New Roman" w:cs="Times New Roman"/>
          <w:sz w:val="24"/>
          <w:szCs w:val="24"/>
          <w:lang w:val="en-US"/>
        </w:rPr>
        <w:t xml:space="preserve"> like mobile telephony follows s-sh</w:t>
      </w:r>
      <w:r w:rsidR="00E052C7">
        <w:rPr>
          <w:rFonts w:ascii="Times New Roman" w:hAnsi="Times New Roman" w:cs="Times New Roman"/>
          <w:sz w:val="24"/>
          <w:szCs w:val="24"/>
          <w:lang w:val="en-US"/>
        </w:rPr>
        <w:t>aped diffusion pattern, there occurs</w:t>
      </w:r>
      <w:r w:rsidR="00F460B7">
        <w:rPr>
          <w:rFonts w:ascii="Times New Roman" w:hAnsi="Times New Roman" w:cs="Times New Roman"/>
          <w:sz w:val="24"/>
          <w:szCs w:val="24"/>
          <w:lang w:val="en-US"/>
        </w:rPr>
        <w:t xml:space="preserve"> a saturation point. </w:t>
      </w:r>
      <w:r w:rsidR="00E052C7">
        <w:rPr>
          <w:rFonts w:ascii="Times New Roman" w:hAnsi="Times New Roman" w:cs="Times New Roman"/>
          <w:sz w:val="24"/>
          <w:szCs w:val="24"/>
          <w:lang w:val="en-US"/>
        </w:rPr>
        <w:t>Then it could be assumed that i</w:t>
      </w:r>
      <w:r w:rsidR="00F460B7">
        <w:rPr>
          <w:rFonts w:ascii="Times New Roman" w:hAnsi="Times New Roman" w:cs="Times New Roman"/>
          <w:sz w:val="24"/>
          <w:szCs w:val="24"/>
          <w:lang w:val="en-US"/>
        </w:rPr>
        <w:t>f the penetration rate was very close to sa</w:t>
      </w:r>
      <w:r w:rsidR="00E052C7">
        <w:rPr>
          <w:rFonts w:ascii="Times New Roman" w:hAnsi="Times New Roman" w:cs="Times New Roman"/>
          <w:sz w:val="24"/>
          <w:szCs w:val="24"/>
          <w:lang w:val="en-US"/>
        </w:rPr>
        <w:t>turation point at introduction</w:t>
      </w:r>
      <w:r w:rsidR="00F460B7">
        <w:rPr>
          <w:rFonts w:ascii="Times New Roman" w:hAnsi="Times New Roman" w:cs="Times New Roman"/>
          <w:sz w:val="24"/>
          <w:szCs w:val="24"/>
          <w:lang w:val="en-US"/>
        </w:rPr>
        <w:t xml:space="preserve"> d</w:t>
      </w:r>
      <w:r w:rsidR="00E052C7">
        <w:rPr>
          <w:rFonts w:ascii="Times New Roman" w:hAnsi="Times New Roman" w:cs="Times New Roman"/>
          <w:sz w:val="24"/>
          <w:szCs w:val="24"/>
          <w:lang w:val="en-US"/>
        </w:rPr>
        <w:t>ate of MNP, it may have been</w:t>
      </w:r>
      <w:r w:rsidR="00F460B7">
        <w:rPr>
          <w:rFonts w:ascii="Times New Roman" w:hAnsi="Times New Roman" w:cs="Times New Roman"/>
          <w:sz w:val="24"/>
          <w:szCs w:val="24"/>
          <w:lang w:val="en-US"/>
        </w:rPr>
        <w:t xml:space="preserve"> actual source of structural break, too. </w:t>
      </w:r>
      <w:r w:rsidR="00076105">
        <w:rPr>
          <w:rFonts w:ascii="Times New Roman" w:hAnsi="Times New Roman" w:cs="Times New Roman"/>
          <w:sz w:val="24"/>
          <w:szCs w:val="24"/>
          <w:lang w:val="en-US"/>
        </w:rPr>
        <w:t xml:space="preserve">Therefore, even we have some evidence in favor of structural break, the source of structural break may still be questioned </w:t>
      </w:r>
      <w:r w:rsidR="00F460B7">
        <w:rPr>
          <w:rFonts w:ascii="Times New Roman" w:hAnsi="Times New Roman" w:cs="Times New Roman"/>
          <w:sz w:val="24"/>
          <w:szCs w:val="24"/>
          <w:lang w:val="en-US"/>
        </w:rPr>
        <w:t>due to those issues</w:t>
      </w:r>
      <w:r w:rsidR="00076105">
        <w:rPr>
          <w:rFonts w:ascii="Times New Roman" w:hAnsi="Times New Roman" w:cs="Times New Roman"/>
          <w:sz w:val="24"/>
          <w:szCs w:val="24"/>
          <w:lang w:val="en-US"/>
        </w:rPr>
        <w:t>. It may be possible that by using data of longer period</w:t>
      </w:r>
      <w:r w:rsidR="00E052C7">
        <w:rPr>
          <w:rFonts w:ascii="Times New Roman" w:hAnsi="Times New Roman" w:cs="Times New Roman"/>
          <w:sz w:val="24"/>
          <w:szCs w:val="24"/>
          <w:lang w:val="en-US"/>
        </w:rPr>
        <w:t>s</w:t>
      </w:r>
      <w:r w:rsidR="00076105">
        <w:rPr>
          <w:rFonts w:ascii="Times New Roman" w:hAnsi="Times New Roman" w:cs="Times New Roman"/>
          <w:sz w:val="24"/>
          <w:szCs w:val="24"/>
          <w:lang w:val="en-US"/>
        </w:rPr>
        <w:t xml:space="preserve"> which necessarily includes severe economic crises</w:t>
      </w:r>
      <w:r w:rsidR="00804ECD">
        <w:rPr>
          <w:rFonts w:ascii="Times New Roman" w:hAnsi="Times New Roman" w:cs="Times New Roman"/>
          <w:sz w:val="24"/>
          <w:szCs w:val="24"/>
          <w:lang w:val="en-US"/>
        </w:rPr>
        <w:t xml:space="preserve"> and potentially more than one structural break, the effects of economic crises on mobile penetration in Turkey may be more clearly understood.</w:t>
      </w:r>
      <w:r w:rsidR="00076105">
        <w:rPr>
          <w:rFonts w:ascii="Times New Roman" w:hAnsi="Times New Roman" w:cs="Times New Roman"/>
          <w:sz w:val="24"/>
          <w:szCs w:val="24"/>
          <w:lang w:val="en-US"/>
        </w:rPr>
        <w:t xml:space="preserve"> </w:t>
      </w:r>
      <w:r w:rsidR="00983AB7">
        <w:rPr>
          <w:rFonts w:ascii="Times New Roman" w:hAnsi="Times New Roman" w:cs="Times New Roman"/>
          <w:sz w:val="24"/>
          <w:szCs w:val="24"/>
          <w:lang w:val="en-US"/>
        </w:rPr>
        <w:t xml:space="preserve">There are also different approaches to consider structural break question such as particularly designed unit root tests and recursive methods. The study may be extended towards this direction to confirm the results. </w:t>
      </w:r>
    </w:p>
    <w:p w:rsidR="007A3419" w:rsidRDefault="007A3419" w:rsidP="007A3419">
      <w:pPr>
        <w:spacing w:line="240" w:lineRule="auto"/>
        <w:ind w:firstLine="0"/>
        <w:rPr>
          <w:rFonts w:ascii="Times New Roman" w:hAnsi="Times New Roman" w:cs="Times New Roman"/>
          <w:b/>
          <w:sz w:val="24"/>
          <w:szCs w:val="24"/>
          <w:lang w:val="en-US"/>
        </w:rPr>
      </w:pPr>
    </w:p>
    <w:p w:rsidR="00BD0182" w:rsidRDefault="00BD0182">
      <w:pPr>
        <w:rPr>
          <w:lang w:val="en-US"/>
        </w:rPr>
      </w:pPr>
      <w:r w:rsidRPr="00CF74FD">
        <w:rPr>
          <w:lang w:val="en-US"/>
        </w:rPr>
        <w:t>Conclusion</w:t>
      </w:r>
    </w:p>
    <w:p w:rsidR="00BE6FA5" w:rsidRDefault="009F10F9" w:rsidP="007A3419">
      <w:pPr>
        <w:spacing w:line="240" w:lineRule="auto"/>
        <w:ind w:firstLine="0"/>
        <w:rPr>
          <w:rFonts w:ascii="Times New Roman" w:hAnsi="Times New Roman" w:cs="Times New Roman"/>
          <w:sz w:val="24"/>
          <w:szCs w:val="24"/>
          <w:lang w:val="en-US"/>
        </w:rPr>
      </w:pPr>
      <w:r w:rsidRPr="008649BA">
        <w:rPr>
          <w:rFonts w:ascii="Times New Roman" w:hAnsi="Times New Roman" w:cs="Times New Roman"/>
          <w:sz w:val="24"/>
          <w:szCs w:val="24"/>
          <w:lang w:val="en-US"/>
        </w:rPr>
        <w:t xml:space="preserve">In Turkey, </w:t>
      </w:r>
      <w:r w:rsidR="008F39A9">
        <w:rPr>
          <w:rFonts w:ascii="Times New Roman" w:hAnsi="Times New Roman" w:cs="Times New Roman"/>
          <w:sz w:val="24"/>
          <w:szCs w:val="24"/>
          <w:lang w:val="en-US"/>
        </w:rPr>
        <w:t>MNP</w:t>
      </w:r>
      <w:r w:rsidRPr="008649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has been </w:t>
      </w:r>
      <w:r w:rsidRPr="008649BA">
        <w:rPr>
          <w:rFonts w:ascii="Times New Roman" w:hAnsi="Times New Roman" w:cs="Times New Roman"/>
          <w:sz w:val="24"/>
          <w:szCs w:val="24"/>
          <w:lang w:val="en-US"/>
        </w:rPr>
        <w:t>accepted</w:t>
      </w:r>
      <w:r>
        <w:rPr>
          <w:rFonts w:ascii="Times New Roman" w:hAnsi="Times New Roman" w:cs="Times New Roman"/>
          <w:sz w:val="24"/>
          <w:szCs w:val="24"/>
          <w:lang w:val="en-US"/>
        </w:rPr>
        <w:t xml:space="preserve"> generally</w:t>
      </w:r>
      <w:r w:rsidRPr="008649BA">
        <w:rPr>
          <w:rFonts w:ascii="Times New Roman" w:hAnsi="Times New Roman" w:cs="Times New Roman"/>
          <w:sz w:val="24"/>
          <w:szCs w:val="24"/>
          <w:lang w:val="en-US"/>
        </w:rPr>
        <w:t xml:space="preserve"> as </w:t>
      </w:r>
      <w:r>
        <w:rPr>
          <w:rFonts w:ascii="Times New Roman" w:hAnsi="Times New Roman" w:cs="Times New Roman"/>
          <w:sz w:val="24"/>
          <w:szCs w:val="24"/>
          <w:lang w:val="en-US"/>
        </w:rPr>
        <w:t xml:space="preserve">a </w:t>
      </w:r>
      <w:r w:rsidRPr="008649BA">
        <w:rPr>
          <w:rFonts w:ascii="Times New Roman" w:hAnsi="Times New Roman" w:cs="Times New Roman"/>
          <w:sz w:val="24"/>
          <w:szCs w:val="24"/>
          <w:lang w:val="en-US"/>
        </w:rPr>
        <w:t>successful regulation</w:t>
      </w:r>
      <w:r>
        <w:rPr>
          <w:rFonts w:ascii="Times New Roman" w:hAnsi="Times New Roman" w:cs="Times New Roman"/>
          <w:sz w:val="24"/>
          <w:szCs w:val="24"/>
          <w:lang w:val="en-US"/>
        </w:rPr>
        <w:t xml:space="preserve"> that </w:t>
      </w:r>
      <w:r w:rsidR="008F39A9">
        <w:rPr>
          <w:rFonts w:ascii="Times New Roman" w:hAnsi="Times New Roman" w:cs="Times New Roman"/>
          <w:sz w:val="24"/>
          <w:szCs w:val="24"/>
          <w:lang w:val="en-US"/>
        </w:rPr>
        <w:t>has started to be implemented in</w:t>
      </w:r>
      <w:r w:rsidRPr="008649BA">
        <w:rPr>
          <w:rFonts w:ascii="Times New Roman" w:hAnsi="Times New Roman" w:cs="Times New Roman"/>
          <w:sz w:val="24"/>
          <w:szCs w:val="24"/>
          <w:lang w:val="en-US"/>
        </w:rPr>
        <w:t xml:space="preserve"> </w:t>
      </w:r>
      <w:r>
        <w:rPr>
          <w:rFonts w:ascii="Times New Roman" w:hAnsi="Times New Roman" w:cs="Times New Roman"/>
          <w:sz w:val="24"/>
          <w:szCs w:val="24"/>
          <w:lang w:val="en-US"/>
        </w:rPr>
        <w:t>late 2008</w:t>
      </w:r>
      <w:r w:rsidRPr="008649BA">
        <w:rPr>
          <w:rFonts w:ascii="Times New Roman" w:hAnsi="Times New Roman" w:cs="Times New Roman"/>
          <w:sz w:val="24"/>
          <w:szCs w:val="24"/>
          <w:lang w:val="en-US"/>
        </w:rPr>
        <w:t xml:space="preserve">. </w:t>
      </w:r>
      <w:r w:rsidR="008F39A9">
        <w:rPr>
          <w:rFonts w:ascii="Times New Roman" w:hAnsi="Times New Roman" w:cs="Times New Roman"/>
          <w:sz w:val="24"/>
          <w:szCs w:val="24"/>
          <w:lang w:val="en-US"/>
        </w:rPr>
        <w:t>After the introduction</w:t>
      </w:r>
      <w:r>
        <w:rPr>
          <w:rFonts w:ascii="Times New Roman" w:hAnsi="Times New Roman" w:cs="Times New Roman"/>
          <w:sz w:val="24"/>
          <w:szCs w:val="24"/>
          <w:lang w:val="en-US"/>
        </w:rPr>
        <w:t xml:space="preserve"> of </w:t>
      </w:r>
      <w:r w:rsidR="008F39A9">
        <w:rPr>
          <w:rFonts w:ascii="Times New Roman" w:hAnsi="Times New Roman" w:cs="Times New Roman"/>
          <w:sz w:val="24"/>
          <w:szCs w:val="24"/>
          <w:lang w:val="en-US"/>
        </w:rPr>
        <w:t>MNP</w:t>
      </w:r>
      <w:r>
        <w:rPr>
          <w:rFonts w:ascii="Times New Roman" w:hAnsi="Times New Roman" w:cs="Times New Roman"/>
          <w:sz w:val="24"/>
          <w:szCs w:val="24"/>
          <w:lang w:val="en-US"/>
        </w:rPr>
        <w:t xml:space="preserve">, there is slightly decline in mobile penetration rate in Turkey which is attributed to effect of </w:t>
      </w:r>
      <w:r w:rsidR="008F39A9">
        <w:rPr>
          <w:rFonts w:ascii="Times New Roman" w:hAnsi="Times New Roman" w:cs="Times New Roman"/>
          <w:sz w:val="24"/>
          <w:szCs w:val="24"/>
          <w:lang w:val="en-US"/>
        </w:rPr>
        <w:t>MNP</w:t>
      </w:r>
      <w:r>
        <w:rPr>
          <w:rFonts w:ascii="Times New Roman" w:hAnsi="Times New Roman" w:cs="Times New Roman"/>
          <w:sz w:val="24"/>
          <w:szCs w:val="24"/>
          <w:lang w:val="en-US"/>
        </w:rPr>
        <w:t xml:space="preserve">. In this paper, we </w:t>
      </w:r>
      <w:r w:rsidR="008F39A9">
        <w:rPr>
          <w:rFonts w:ascii="Times New Roman" w:hAnsi="Times New Roman" w:cs="Times New Roman"/>
          <w:sz w:val="24"/>
          <w:szCs w:val="24"/>
          <w:lang w:val="en-US"/>
        </w:rPr>
        <w:t xml:space="preserve">have </w:t>
      </w:r>
      <w:r>
        <w:rPr>
          <w:rFonts w:ascii="Times New Roman" w:hAnsi="Times New Roman" w:cs="Times New Roman"/>
          <w:sz w:val="24"/>
          <w:szCs w:val="24"/>
          <w:lang w:val="en-US"/>
        </w:rPr>
        <w:t>test</w:t>
      </w:r>
      <w:r w:rsidR="008F39A9">
        <w:rPr>
          <w:rFonts w:ascii="Times New Roman" w:hAnsi="Times New Roman" w:cs="Times New Roman"/>
          <w:sz w:val="24"/>
          <w:szCs w:val="24"/>
          <w:lang w:val="en-US"/>
        </w:rPr>
        <w:t>ed</w:t>
      </w:r>
      <w:r>
        <w:rPr>
          <w:rFonts w:ascii="Times New Roman" w:hAnsi="Times New Roman" w:cs="Times New Roman"/>
          <w:sz w:val="24"/>
          <w:szCs w:val="24"/>
          <w:lang w:val="en-US"/>
        </w:rPr>
        <w:t xml:space="preserve"> this hypothesis by using the Chow test to determine whether there is a regime change after introduct</w:t>
      </w:r>
      <w:r w:rsidR="008F39A9">
        <w:rPr>
          <w:rFonts w:ascii="Times New Roman" w:hAnsi="Times New Roman" w:cs="Times New Roman"/>
          <w:sz w:val="24"/>
          <w:szCs w:val="24"/>
          <w:lang w:val="en-US"/>
        </w:rPr>
        <w:t>ion of MNP</w:t>
      </w:r>
      <w:r>
        <w:rPr>
          <w:rFonts w:ascii="Times New Roman" w:hAnsi="Times New Roman" w:cs="Times New Roman"/>
          <w:sz w:val="24"/>
          <w:szCs w:val="24"/>
          <w:lang w:val="en-US"/>
        </w:rPr>
        <w:t>. Our results provide some evidence in favor of it. However</w:t>
      </w:r>
      <w:r w:rsidR="00BA4990">
        <w:rPr>
          <w:rFonts w:ascii="Times New Roman" w:hAnsi="Times New Roman" w:cs="Times New Roman"/>
          <w:sz w:val="24"/>
          <w:szCs w:val="24"/>
          <w:lang w:val="en-US"/>
        </w:rPr>
        <w:t>, s</w:t>
      </w:r>
      <w:r>
        <w:rPr>
          <w:rFonts w:ascii="Times New Roman" w:hAnsi="Times New Roman" w:cs="Times New Roman"/>
          <w:sz w:val="24"/>
          <w:szCs w:val="24"/>
          <w:lang w:val="en-US"/>
        </w:rPr>
        <w:t xml:space="preserve">ome further study is </w:t>
      </w:r>
      <w:r w:rsidR="00BA4990">
        <w:rPr>
          <w:rFonts w:ascii="Times New Roman" w:hAnsi="Times New Roman" w:cs="Times New Roman"/>
          <w:sz w:val="24"/>
          <w:szCs w:val="24"/>
          <w:lang w:val="en-US"/>
        </w:rPr>
        <w:t xml:space="preserve">still be </w:t>
      </w:r>
      <w:r>
        <w:rPr>
          <w:rFonts w:ascii="Times New Roman" w:hAnsi="Times New Roman" w:cs="Times New Roman"/>
          <w:sz w:val="24"/>
          <w:szCs w:val="24"/>
          <w:lang w:val="en-US"/>
        </w:rPr>
        <w:t>needed on this issue.</w:t>
      </w:r>
    </w:p>
    <w:p w:rsidR="007A3419" w:rsidRDefault="007A3419" w:rsidP="007A3419">
      <w:pPr>
        <w:spacing w:line="240" w:lineRule="auto"/>
        <w:ind w:firstLine="0"/>
        <w:rPr>
          <w:rFonts w:ascii="Times New Roman" w:hAnsi="Times New Roman" w:cs="Times New Roman"/>
          <w:sz w:val="24"/>
          <w:szCs w:val="24"/>
          <w:lang w:val="en-US"/>
        </w:rPr>
      </w:pPr>
    </w:p>
    <w:p w:rsidR="004D5315" w:rsidRDefault="007A3419" w:rsidP="004D5315">
      <w:pPr>
        <w:ind w:firstLine="0"/>
        <w:rPr>
          <w:lang w:val="en-US"/>
        </w:rPr>
      </w:pPr>
      <w:r>
        <w:rPr>
          <w:lang w:val="en-US"/>
        </w:rPr>
        <w:t>R</w:t>
      </w:r>
      <w:r w:rsidR="004D5315">
        <w:rPr>
          <w:lang w:val="en-US"/>
        </w:rPr>
        <w:t>eferences</w:t>
      </w:r>
    </w:p>
    <w:p w:rsidR="00DE7E8E" w:rsidRPr="00DE7E8E" w:rsidRDefault="00DE7E8E" w:rsidP="007A3419">
      <w:pPr>
        <w:spacing w:line="240" w:lineRule="auto"/>
        <w:ind w:firstLine="0"/>
        <w:rPr>
          <w:rFonts w:ascii="Times New Roman" w:hAnsi="Times New Roman" w:cs="Times New Roman"/>
          <w:sz w:val="24"/>
          <w:szCs w:val="24"/>
          <w:lang w:val="en-US"/>
        </w:rPr>
      </w:pPr>
      <w:r w:rsidRPr="005E332F">
        <w:rPr>
          <w:rFonts w:ascii="Times New Roman" w:hAnsi="Times New Roman" w:cs="Times New Roman"/>
          <w:sz w:val="24"/>
          <w:szCs w:val="24"/>
        </w:rPr>
        <w:t>Başaran, Alparslan A., Çetinkaya, M. and Bağdadioğlu, N., Operator choice in the mobile telecommunications market: Evidence from Turkish urban population, Telecommunications Policy, Vol. 38, Issue 1, February 2014, p. 1-13.</w:t>
      </w:r>
    </w:p>
    <w:p w:rsidR="00BA64D7" w:rsidRDefault="00BA64D7"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Chow, G. C. (1960), Tests of Equality Between Sets of Coefficients in Two Linear Regressions, Econometrica, Vol. 28., 591-605.</w:t>
      </w:r>
    </w:p>
    <w:p w:rsidR="006D6E86" w:rsidRDefault="006D6E86"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Dickey, D.A. and Fuller, W.A. (1979), Distribution of the Estimators for Autoregressive Time Series With a Unit Root, Journal of the American Statistical Association, Volume 74, Issue 366, 427-431.</w:t>
      </w:r>
    </w:p>
    <w:p w:rsidR="00BA64D7" w:rsidRDefault="00EC6ED8" w:rsidP="007A3419">
      <w:pPr>
        <w:spacing w:line="240" w:lineRule="auto"/>
        <w:ind w:firstLine="0"/>
        <w:rPr>
          <w:rFonts w:ascii="Times New Roman" w:hAnsi="Times New Roman" w:cs="Times New Roman"/>
          <w:sz w:val="24"/>
          <w:szCs w:val="24"/>
          <w:lang w:val="en-US"/>
        </w:rPr>
      </w:pPr>
      <w:r w:rsidRPr="00EC6ED8">
        <w:rPr>
          <w:rFonts w:ascii="Times New Roman" w:hAnsi="Times New Roman" w:cs="Times New Roman"/>
          <w:sz w:val="24"/>
          <w:szCs w:val="24"/>
          <w:lang w:val="en-US"/>
        </w:rPr>
        <w:t>Enders, W. (2010), Applied Econometric Time Series</w:t>
      </w:r>
      <w:r>
        <w:rPr>
          <w:rFonts w:ascii="Times New Roman" w:hAnsi="Times New Roman" w:cs="Times New Roman"/>
          <w:sz w:val="24"/>
          <w:szCs w:val="24"/>
          <w:lang w:val="en-US"/>
        </w:rPr>
        <w:t xml:space="preserve"> 3e</w:t>
      </w:r>
      <w:r w:rsidRPr="00EC6ED8">
        <w:rPr>
          <w:rFonts w:ascii="Times New Roman" w:hAnsi="Times New Roman" w:cs="Times New Roman"/>
          <w:sz w:val="24"/>
          <w:szCs w:val="24"/>
          <w:lang w:val="en-US"/>
        </w:rPr>
        <w:t>,</w:t>
      </w:r>
      <w:r>
        <w:rPr>
          <w:rFonts w:ascii="Times New Roman" w:hAnsi="Times New Roman" w:cs="Times New Roman"/>
          <w:sz w:val="24"/>
          <w:szCs w:val="24"/>
          <w:lang w:val="en-US"/>
        </w:rPr>
        <w:t xml:space="preserve"> John Wiley &amp; sons, Inc, USA.</w:t>
      </w:r>
    </w:p>
    <w:p w:rsidR="00DE7E8E" w:rsidRPr="00DE7E8E" w:rsidRDefault="00DE7E8E" w:rsidP="007A3419">
      <w:pPr>
        <w:spacing w:line="240" w:lineRule="auto"/>
        <w:ind w:firstLine="0"/>
        <w:rPr>
          <w:rFonts w:ascii="Times New Roman" w:hAnsi="Times New Roman" w:cs="Times New Roman"/>
          <w:sz w:val="24"/>
          <w:szCs w:val="24"/>
          <w:lang w:val="en-US"/>
        </w:rPr>
      </w:pPr>
      <w:r w:rsidRPr="005E332F">
        <w:rPr>
          <w:rFonts w:ascii="Times New Roman" w:hAnsi="Times New Roman" w:cs="Times New Roman"/>
          <w:sz w:val="24"/>
          <w:szCs w:val="24"/>
          <w:lang w:val="en-US"/>
        </w:rPr>
        <w:t>European Commission, Commission Staff Working Document, Digital Agenda Scoreboard 2013, Brussels, 12.06.2013, SWD 217 final, 59-60, http://ec.europa.eu/digital-agenda/sites/digitalagenda/files/DAE%20SCOREBOARD%202013%20%20SWD%202013%20217%20FINAL.pdf.</w:t>
      </w:r>
    </w:p>
    <w:p w:rsidR="00EC6ED8" w:rsidRDefault="00BA64D7"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Hansen, B.E. (2001), The New Econometrics of Structural Change: Dating Breaks in U.S. Labor Productivity, Journal of Economic Perspectives, Volume 15, Number 4, 117-128.</w:t>
      </w:r>
      <w:r w:rsidR="00EC6ED8" w:rsidRPr="00EC6ED8">
        <w:rPr>
          <w:rFonts w:ascii="Times New Roman" w:hAnsi="Times New Roman" w:cs="Times New Roman"/>
          <w:sz w:val="24"/>
          <w:szCs w:val="24"/>
          <w:lang w:val="en-US"/>
        </w:rPr>
        <w:t xml:space="preserve"> </w:t>
      </w:r>
    </w:p>
    <w:p w:rsidR="005E332F" w:rsidRPr="005E332F" w:rsidRDefault="005E332F" w:rsidP="007A3419">
      <w:pPr>
        <w:spacing w:line="240" w:lineRule="auto"/>
        <w:ind w:firstLine="0"/>
        <w:rPr>
          <w:rFonts w:ascii="Times New Roman" w:hAnsi="Times New Roman" w:cs="Times New Roman"/>
          <w:sz w:val="24"/>
          <w:szCs w:val="24"/>
          <w:lang w:val="en-US"/>
        </w:rPr>
      </w:pPr>
      <w:r w:rsidRPr="005E332F">
        <w:rPr>
          <w:rFonts w:ascii="Times New Roman" w:hAnsi="Times New Roman" w:cs="Times New Roman"/>
          <w:sz w:val="24"/>
          <w:szCs w:val="24"/>
        </w:rPr>
        <w:t>ICTA, Müberra Güngör and Gökhan Evren (</w:t>
      </w:r>
      <w:r w:rsidR="002D68B4">
        <w:rPr>
          <w:rFonts w:ascii="Times New Roman" w:hAnsi="Times New Roman" w:cs="Times New Roman"/>
          <w:sz w:val="24"/>
          <w:szCs w:val="24"/>
        </w:rPr>
        <w:t>eds.), MNP</w:t>
      </w:r>
      <w:r w:rsidRPr="005E332F">
        <w:rPr>
          <w:rFonts w:ascii="Times New Roman" w:hAnsi="Times New Roman" w:cs="Times New Roman"/>
          <w:sz w:val="24"/>
          <w:szCs w:val="24"/>
        </w:rPr>
        <w:t xml:space="preserve">: Effects over Competition and Consumers (A Regulatory Impact Analysis), March 2010, </w:t>
      </w:r>
      <w:hyperlink r:id="rId10" w:history="1">
        <w:r w:rsidRPr="005E332F">
          <w:rPr>
            <w:rStyle w:val="Hyperlink"/>
            <w:rFonts w:ascii="Times New Roman" w:hAnsi="Times New Roman" w:cs="Times New Roman"/>
            <w:sz w:val="24"/>
            <w:szCs w:val="24"/>
          </w:rPr>
          <w:t>http://www.nts.gov.tr/files/DEA_MNT_v4.pdf</w:t>
        </w:r>
      </w:hyperlink>
      <w:r w:rsidRPr="005E332F">
        <w:rPr>
          <w:rFonts w:ascii="Times New Roman" w:hAnsi="Times New Roman" w:cs="Times New Roman"/>
          <w:sz w:val="24"/>
          <w:szCs w:val="24"/>
        </w:rPr>
        <w:t>.</w:t>
      </w:r>
    </w:p>
    <w:p w:rsidR="005E332F" w:rsidRPr="005E332F" w:rsidRDefault="005E332F" w:rsidP="007A3419">
      <w:pPr>
        <w:spacing w:line="240" w:lineRule="auto"/>
        <w:ind w:firstLine="0"/>
        <w:rPr>
          <w:rFonts w:ascii="Times New Roman" w:hAnsi="Times New Roman" w:cs="Times New Roman"/>
          <w:sz w:val="24"/>
          <w:szCs w:val="24"/>
        </w:rPr>
      </w:pPr>
      <w:r w:rsidRPr="005E332F">
        <w:rPr>
          <w:rFonts w:ascii="Times New Roman" w:hAnsi="Times New Roman" w:cs="Times New Roman"/>
          <w:sz w:val="24"/>
          <w:szCs w:val="24"/>
        </w:rPr>
        <w:t xml:space="preserve">ICTA, Market Data,  </w:t>
      </w:r>
      <w:hyperlink r:id="rId11" w:history="1">
        <w:r w:rsidRPr="005E332F">
          <w:rPr>
            <w:rStyle w:val="Hyperlink"/>
            <w:rFonts w:ascii="Times New Roman" w:hAnsi="Times New Roman" w:cs="Times New Roman"/>
            <w:sz w:val="24"/>
            <w:szCs w:val="24"/>
          </w:rPr>
          <w:t>http://btk.gov.tr/kutuphane_ve_veribankasi/ pazar_verileri/pazar_verileri.php</w:t>
        </w:r>
      </w:hyperlink>
      <w:r w:rsidRPr="005E332F">
        <w:rPr>
          <w:rFonts w:ascii="Times New Roman" w:hAnsi="Times New Roman" w:cs="Times New Roman"/>
          <w:sz w:val="24"/>
          <w:szCs w:val="24"/>
        </w:rPr>
        <w:t>.</w:t>
      </w:r>
    </w:p>
    <w:p w:rsidR="005E332F" w:rsidRPr="00DE7E8E" w:rsidRDefault="00943E23" w:rsidP="007A3419">
      <w:pPr>
        <w:spacing w:line="240" w:lineRule="auto"/>
        <w:ind w:firstLine="0"/>
        <w:rPr>
          <w:rFonts w:ascii="Times New Roman" w:hAnsi="Times New Roman" w:cs="Times New Roman"/>
          <w:sz w:val="24"/>
          <w:szCs w:val="24"/>
        </w:rPr>
      </w:pPr>
      <w:hyperlink r:id="rId12" w:anchor="/surecler/" w:history="1">
        <w:r w:rsidR="005E332F" w:rsidRPr="005E332F">
          <w:rPr>
            <w:rStyle w:val="Hyperlink"/>
            <w:rFonts w:ascii="Times New Roman" w:hAnsi="Times New Roman" w:cs="Times New Roman"/>
            <w:sz w:val="24"/>
            <w:szCs w:val="24"/>
          </w:rPr>
          <w:t>http://www.nts.gov.tr/#/surecler/</w:t>
        </w:r>
      </w:hyperlink>
      <w:r w:rsidR="005E332F" w:rsidRPr="005E332F">
        <w:rPr>
          <w:rFonts w:ascii="Times New Roman" w:hAnsi="Times New Roman" w:cs="Times New Roman"/>
          <w:sz w:val="24"/>
          <w:szCs w:val="24"/>
        </w:rPr>
        <w:t xml:space="preserve"> (ICTA’s official site concerning MNP)</w:t>
      </w:r>
    </w:p>
    <w:p w:rsidR="00DE7E8E" w:rsidRPr="005E332F" w:rsidRDefault="00DE7E8E" w:rsidP="007A3419">
      <w:pPr>
        <w:spacing w:line="240" w:lineRule="auto"/>
        <w:ind w:firstLine="0"/>
        <w:rPr>
          <w:rFonts w:ascii="Times New Roman" w:hAnsi="Times New Roman" w:cs="Times New Roman"/>
          <w:sz w:val="24"/>
          <w:szCs w:val="24"/>
          <w:lang w:val="en-US"/>
        </w:rPr>
      </w:pPr>
      <w:r w:rsidRPr="005E332F">
        <w:rPr>
          <w:rFonts w:ascii="Times New Roman" w:hAnsi="Times New Roman" w:cs="Times New Roman"/>
          <w:sz w:val="24"/>
          <w:szCs w:val="24"/>
          <w:lang w:val="en-US"/>
        </w:rPr>
        <w:t>Kulali, I and Bilir, H. (2012), An Overview of Turkish GSM Market: Network Effect, Market Structure and Sectoral Regulation, Suleyman Demirel University, The Journal of Faculty of Economics and Administrative Sciences, V</w:t>
      </w:r>
      <w:r w:rsidR="005E332F">
        <w:rPr>
          <w:rFonts w:ascii="Times New Roman" w:hAnsi="Times New Roman" w:cs="Times New Roman"/>
          <w:sz w:val="24"/>
          <w:szCs w:val="24"/>
          <w:lang w:val="en-US"/>
        </w:rPr>
        <w:t>ol. 17, No: 3, 2012, p. 415-439.</w:t>
      </w:r>
    </w:p>
    <w:p w:rsidR="00DE7E8E" w:rsidRDefault="00DE7E8E" w:rsidP="007A3419">
      <w:pPr>
        <w:spacing w:line="240" w:lineRule="auto"/>
        <w:ind w:firstLine="0"/>
        <w:rPr>
          <w:rFonts w:ascii="Times New Roman" w:hAnsi="Times New Roman" w:cs="Times New Roman"/>
          <w:sz w:val="24"/>
          <w:szCs w:val="24"/>
          <w:lang w:val="en-US"/>
        </w:rPr>
      </w:pPr>
      <w:r w:rsidRPr="005E332F">
        <w:rPr>
          <w:rFonts w:ascii="Times New Roman" w:hAnsi="Times New Roman" w:cs="Times New Roman"/>
          <w:sz w:val="24"/>
          <w:szCs w:val="24"/>
          <w:lang w:val="en-US"/>
        </w:rPr>
        <w:t>Tozer, A. and Güngör, M., (2012), How effective competition regulations? Waterbed Effect and Examination of Turkey Case, Competition Journal, Vol. 1</w:t>
      </w:r>
      <w:r w:rsidR="005E332F">
        <w:rPr>
          <w:rFonts w:ascii="Times New Roman" w:hAnsi="Times New Roman" w:cs="Times New Roman"/>
          <w:sz w:val="24"/>
          <w:szCs w:val="24"/>
          <w:lang w:val="en-US"/>
        </w:rPr>
        <w:t>3, No: 2, April 2012, p. 95-146.</w:t>
      </w:r>
    </w:p>
    <w:p w:rsidR="00A64553" w:rsidRDefault="00A64553" w:rsidP="007A3419">
      <w:pPr>
        <w:spacing w:line="240" w:lineRule="auto"/>
        <w:ind w:firstLine="0"/>
        <w:rPr>
          <w:rFonts w:ascii="Times New Roman" w:hAnsi="Times New Roman" w:cs="Times New Roman"/>
          <w:b/>
          <w:sz w:val="24"/>
          <w:szCs w:val="24"/>
          <w:lang w:val="en-US"/>
        </w:rPr>
      </w:pPr>
      <w:r>
        <w:rPr>
          <w:rFonts w:ascii="Times New Roman" w:hAnsi="Times New Roman" w:cs="Times New Roman"/>
          <w:sz w:val="24"/>
          <w:szCs w:val="24"/>
          <w:lang w:val="en-US"/>
        </w:rPr>
        <w:t>Perron, P. (1989), The great crash, the oil price shock, and the unit root hypothesis”, Econometrica, 57, 1361-1401.</w:t>
      </w:r>
    </w:p>
    <w:p w:rsidR="00FC4669" w:rsidRDefault="00FC4669" w:rsidP="007A3419">
      <w:pPr>
        <w:spacing w:line="240" w:lineRule="auto"/>
        <w:ind w:firstLine="0"/>
        <w:rPr>
          <w:rFonts w:ascii="Times New Roman" w:hAnsi="Times New Roman" w:cs="Times New Roman"/>
          <w:sz w:val="24"/>
          <w:szCs w:val="24"/>
          <w:lang w:val="en-US"/>
        </w:rPr>
      </w:pPr>
      <w:r>
        <w:rPr>
          <w:rFonts w:ascii="Times New Roman" w:hAnsi="Times New Roman" w:cs="Times New Roman"/>
          <w:sz w:val="24"/>
          <w:szCs w:val="24"/>
          <w:lang w:val="en-US"/>
        </w:rPr>
        <w:t>Perron, P. and Vogelsang T. J. (1991), Nonstationarity and Level Shifts with an Application to Purchasing Power Parity, Economic Research Program Research Memorandum No. 359.</w:t>
      </w:r>
    </w:p>
    <w:p w:rsidR="00DE7E8E" w:rsidRPr="00EC6ED8" w:rsidRDefault="00DE7E8E" w:rsidP="004D5315">
      <w:pPr>
        <w:ind w:firstLine="0"/>
        <w:rPr>
          <w:rFonts w:ascii="Times New Roman" w:hAnsi="Times New Roman" w:cs="Times New Roman"/>
          <w:b/>
          <w:sz w:val="24"/>
          <w:szCs w:val="24"/>
          <w:lang w:val="en-US"/>
        </w:rPr>
      </w:pPr>
    </w:p>
    <w:sectPr w:rsidR="00DE7E8E" w:rsidRPr="00EC6ED8" w:rsidSect="00D4386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BB" w:rsidRDefault="00D65ABB" w:rsidP="008607F2">
      <w:pPr>
        <w:spacing w:after="0" w:line="240" w:lineRule="auto"/>
      </w:pPr>
      <w:r>
        <w:separator/>
      </w:r>
    </w:p>
  </w:endnote>
  <w:endnote w:type="continuationSeparator" w:id="0">
    <w:p w:rsidR="00D65ABB" w:rsidRDefault="00D65ABB" w:rsidP="00860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5245"/>
      <w:docPartObj>
        <w:docPartGallery w:val="Page Numbers (Bottom of Page)"/>
        <w:docPartUnique/>
      </w:docPartObj>
    </w:sdtPr>
    <w:sdtEndPr>
      <w:rPr>
        <w:sz w:val="24"/>
        <w:szCs w:val="24"/>
      </w:rPr>
    </w:sdtEndPr>
    <w:sdtContent>
      <w:p w:rsidR="00AC29A8" w:rsidRPr="007A3419" w:rsidRDefault="00D54DA6">
        <w:pPr>
          <w:pStyle w:val="Sidefod"/>
          <w:jc w:val="right"/>
          <w:rPr>
            <w:sz w:val="24"/>
            <w:szCs w:val="24"/>
          </w:rPr>
        </w:pPr>
        <w:r w:rsidRPr="007A3419">
          <w:rPr>
            <w:sz w:val="24"/>
            <w:szCs w:val="24"/>
          </w:rPr>
          <w:fldChar w:fldCharType="begin"/>
        </w:r>
        <w:r w:rsidR="00AC29A8" w:rsidRPr="007A3419">
          <w:rPr>
            <w:sz w:val="24"/>
            <w:szCs w:val="24"/>
          </w:rPr>
          <w:instrText>PAGE   \* MERGEFORMAT</w:instrText>
        </w:r>
        <w:r w:rsidRPr="007A3419">
          <w:rPr>
            <w:sz w:val="24"/>
            <w:szCs w:val="24"/>
          </w:rPr>
          <w:fldChar w:fldCharType="separate"/>
        </w:r>
        <w:r w:rsidR="00943E23">
          <w:rPr>
            <w:noProof/>
            <w:sz w:val="24"/>
            <w:szCs w:val="24"/>
          </w:rPr>
          <w:t>1</w:t>
        </w:r>
        <w:r w:rsidRPr="007A3419">
          <w:rPr>
            <w:sz w:val="24"/>
            <w:szCs w:val="24"/>
          </w:rPr>
          <w:fldChar w:fldCharType="end"/>
        </w:r>
      </w:p>
    </w:sdtContent>
  </w:sdt>
  <w:p w:rsidR="00AC29A8" w:rsidRDefault="00AC29A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BB" w:rsidRDefault="00D65ABB" w:rsidP="008607F2">
      <w:pPr>
        <w:spacing w:after="0" w:line="240" w:lineRule="auto"/>
      </w:pPr>
      <w:r>
        <w:separator/>
      </w:r>
    </w:p>
  </w:footnote>
  <w:footnote w:type="continuationSeparator" w:id="0">
    <w:p w:rsidR="00D65ABB" w:rsidRDefault="00D65ABB" w:rsidP="008607F2">
      <w:pPr>
        <w:spacing w:after="0" w:line="240" w:lineRule="auto"/>
      </w:pPr>
      <w:r>
        <w:continuationSeparator/>
      </w:r>
    </w:p>
  </w:footnote>
  <w:footnote w:id="1">
    <w:p w:rsidR="008607F2" w:rsidRPr="000D39A0" w:rsidRDefault="008607F2" w:rsidP="008607F2">
      <w:pPr>
        <w:pStyle w:val="Fodnotetekst"/>
        <w:jc w:val="both"/>
        <w:rPr>
          <w:sz w:val="16"/>
          <w:szCs w:val="16"/>
        </w:rPr>
      </w:pPr>
      <w:r w:rsidRPr="000D39A0">
        <w:rPr>
          <w:rStyle w:val="Fodnotehenvisning"/>
          <w:sz w:val="16"/>
          <w:szCs w:val="16"/>
        </w:rPr>
        <w:footnoteRef/>
      </w:r>
      <w:r w:rsidRPr="000D39A0">
        <w:rPr>
          <w:sz w:val="16"/>
          <w:szCs w:val="16"/>
        </w:rPr>
        <w:t xml:space="preserve"> </w:t>
      </w:r>
      <w:r>
        <w:rPr>
          <w:sz w:val="16"/>
          <w:szCs w:val="16"/>
        </w:rPr>
        <w:t xml:space="preserve">Senior ICT Expert at </w:t>
      </w:r>
      <w:r w:rsidRPr="000D39A0">
        <w:rPr>
          <w:sz w:val="16"/>
          <w:szCs w:val="16"/>
        </w:rPr>
        <w:t>Information Communications and Technologies Authority o</w:t>
      </w:r>
      <w:r>
        <w:rPr>
          <w:sz w:val="16"/>
          <w:szCs w:val="16"/>
        </w:rPr>
        <w:t>f Republic of Turkey (ICTA) (since 2011</w:t>
      </w:r>
      <w:r w:rsidRPr="000D39A0">
        <w:rPr>
          <w:sz w:val="16"/>
          <w:szCs w:val="16"/>
        </w:rPr>
        <w:t>)</w:t>
      </w:r>
      <w:r>
        <w:rPr>
          <w:sz w:val="16"/>
          <w:szCs w:val="16"/>
        </w:rPr>
        <w:t xml:space="preserve">, </w:t>
      </w:r>
      <w:r w:rsidRPr="000D39A0">
        <w:rPr>
          <w:sz w:val="16"/>
          <w:szCs w:val="16"/>
        </w:rPr>
        <w:t xml:space="preserve">ICT Expert at </w:t>
      </w:r>
      <w:r>
        <w:rPr>
          <w:sz w:val="16"/>
          <w:szCs w:val="16"/>
        </w:rPr>
        <w:t>ICTA</w:t>
      </w:r>
      <w:r w:rsidRPr="000D39A0">
        <w:rPr>
          <w:sz w:val="16"/>
          <w:szCs w:val="16"/>
        </w:rPr>
        <w:t xml:space="preserve"> (since 2005); Telecommunications Assistant Expert at Telecommunications Authority </w:t>
      </w:r>
      <w:r>
        <w:rPr>
          <w:sz w:val="16"/>
          <w:szCs w:val="16"/>
        </w:rPr>
        <w:t xml:space="preserve">(ex-ICTA) </w:t>
      </w:r>
      <w:r w:rsidRPr="000D39A0">
        <w:rPr>
          <w:sz w:val="16"/>
          <w:szCs w:val="16"/>
        </w:rPr>
        <w:t>(2001-2005); MA in Economics at Boston University (2008); MSc in Science and T</w:t>
      </w:r>
      <w:r>
        <w:rPr>
          <w:sz w:val="16"/>
          <w:szCs w:val="16"/>
        </w:rPr>
        <w:t>echnology Policy Studies at Middle East Technical University (METU)</w:t>
      </w:r>
      <w:r w:rsidRPr="000D39A0">
        <w:rPr>
          <w:sz w:val="16"/>
          <w:szCs w:val="16"/>
        </w:rPr>
        <w:t xml:space="preserve"> (2007); BS in Economics at METU (2000).</w:t>
      </w:r>
      <w:r>
        <w:rPr>
          <w:sz w:val="16"/>
          <w:szCs w:val="16"/>
        </w:rPr>
        <w:t xml:space="preserve"> The author is interested in </w:t>
      </w:r>
      <w:r w:rsidRPr="000D39A0">
        <w:rPr>
          <w:sz w:val="16"/>
          <w:szCs w:val="16"/>
        </w:rPr>
        <w:t>regulation policies</w:t>
      </w:r>
      <w:r>
        <w:rPr>
          <w:sz w:val="16"/>
          <w:szCs w:val="16"/>
        </w:rPr>
        <w:t>, price regulation, collecting and assessing market data</w:t>
      </w:r>
      <w:r w:rsidRPr="000D39A0">
        <w:rPr>
          <w:sz w:val="16"/>
          <w:szCs w:val="16"/>
        </w:rPr>
        <w:t xml:space="preserve">. </w:t>
      </w:r>
      <w:r>
        <w:rPr>
          <w:sz w:val="16"/>
          <w:szCs w:val="16"/>
        </w:rPr>
        <w:t xml:space="preserve">E-mail address: </w:t>
      </w:r>
      <w:r w:rsidRPr="00E644AC">
        <w:rPr>
          <w:sz w:val="16"/>
          <w:szCs w:val="16"/>
        </w:rPr>
        <w:t>ygoktaylar@btk.gov.tr</w:t>
      </w:r>
    </w:p>
    <w:p w:rsidR="008607F2" w:rsidRPr="000D39A0" w:rsidRDefault="008607F2" w:rsidP="008607F2">
      <w:pPr>
        <w:pStyle w:val="Fodnotetekst"/>
        <w:rPr>
          <w:sz w:val="16"/>
          <w:szCs w:val="16"/>
          <w:lang w:val="tr-TR"/>
        </w:rPr>
      </w:pPr>
    </w:p>
  </w:footnote>
  <w:footnote w:id="2">
    <w:p w:rsidR="008607F2" w:rsidRDefault="008607F2" w:rsidP="008607F2">
      <w:pPr>
        <w:pStyle w:val="Fodnotetekst"/>
        <w:jc w:val="both"/>
        <w:rPr>
          <w:sz w:val="16"/>
          <w:szCs w:val="16"/>
        </w:rPr>
      </w:pPr>
      <w:r w:rsidRPr="000D39A0">
        <w:rPr>
          <w:rStyle w:val="Fodnotehenvisning"/>
          <w:sz w:val="16"/>
          <w:szCs w:val="16"/>
        </w:rPr>
        <w:footnoteRef/>
      </w:r>
      <w:r w:rsidRPr="000D39A0">
        <w:rPr>
          <w:sz w:val="16"/>
          <w:szCs w:val="16"/>
        </w:rPr>
        <w:t xml:space="preserve"> </w:t>
      </w:r>
      <w:r>
        <w:rPr>
          <w:sz w:val="16"/>
          <w:szCs w:val="16"/>
        </w:rPr>
        <w:t xml:space="preserve">Head of Sectoral Competition Department in </w:t>
      </w:r>
      <w:r w:rsidRPr="000D39A0">
        <w:rPr>
          <w:sz w:val="16"/>
          <w:szCs w:val="16"/>
        </w:rPr>
        <w:t>I</w:t>
      </w:r>
      <w:r>
        <w:rPr>
          <w:sz w:val="16"/>
          <w:szCs w:val="16"/>
        </w:rPr>
        <w:t>CTA (since 2011</w:t>
      </w:r>
      <w:r w:rsidRPr="000D39A0">
        <w:rPr>
          <w:sz w:val="16"/>
          <w:szCs w:val="16"/>
        </w:rPr>
        <w:t>)</w:t>
      </w:r>
      <w:r>
        <w:rPr>
          <w:sz w:val="16"/>
          <w:szCs w:val="16"/>
        </w:rPr>
        <w:t xml:space="preserve">, </w:t>
      </w:r>
      <w:r w:rsidRPr="000D39A0">
        <w:rPr>
          <w:sz w:val="16"/>
          <w:szCs w:val="16"/>
        </w:rPr>
        <w:t>ICT Expert in I</w:t>
      </w:r>
      <w:r>
        <w:rPr>
          <w:sz w:val="16"/>
          <w:szCs w:val="16"/>
        </w:rPr>
        <w:t>CTA</w:t>
      </w:r>
      <w:r w:rsidRPr="000D39A0">
        <w:rPr>
          <w:sz w:val="16"/>
          <w:szCs w:val="16"/>
        </w:rPr>
        <w:t xml:space="preserve"> (since 2005); Telecommunications Assistant Expert in Telecommunications Authority </w:t>
      </w:r>
      <w:r>
        <w:rPr>
          <w:sz w:val="16"/>
          <w:szCs w:val="16"/>
        </w:rPr>
        <w:t xml:space="preserve">(ex-ICTA) </w:t>
      </w:r>
      <w:r w:rsidRPr="000D39A0">
        <w:rPr>
          <w:sz w:val="16"/>
          <w:szCs w:val="16"/>
        </w:rPr>
        <w:t>(2001-2005); PhD Candidate in Private Law</w:t>
      </w:r>
      <w:r>
        <w:rPr>
          <w:sz w:val="16"/>
          <w:szCs w:val="16"/>
        </w:rPr>
        <w:t xml:space="preserve"> at</w:t>
      </w:r>
      <w:r w:rsidRPr="000D39A0">
        <w:rPr>
          <w:sz w:val="16"/>
          <w:szCs w:val="16"/>
        </w:rPr>
        <w:t xml:space="preserve"> Sel</w:t>
      </w:r>
      <w:r>
        <w:rPr>
          <w:sz w:val="16"/>
          <w:szCs w:val="16"/>
        </w:rPr>
        <w:t>c</w:t>
      </w:r>
      <w:r w:rsidRPr="000D39A0">
        <w:rPr>
          <w:sz w:val="16"/>
          <w:szCs w:val="16"/>
        </w:rPr>
        <w:t xml:space="preserve">uk University; LLM in Information Technologies, Media and E-Commerce, University of Essex (2007); MSc in European Studies, Middle East Technical University (2004); LLB, Ankara University, Faculty of Law (2000). The author deals with the devising and implementing access and pricing regimes in electronic communications markets with particular regard to </w:t>
      </w:r>
      <w:r>
        <w:rPr>
          <w:sz w:val="16"/>
          <w:szCs w:val="16"/>
        </w:rPr>
        <w:t>their legal dimensions</w:t>
      </w:r>
      <w:r w:rsidRPr="000D39A0">
        <w:rPr>
          <w:sz w:val="16"/>
          <w:szCs w:val="16"/>
        </w:rPr>
        <w:t>.</w:t>
      </w:r>
      <w:r>
        <w:rPr>
          <w:sz w:val="16"/>
          <w:szCs w:val="16"/>
        </w:rPr>
        <w:t xml:space="preserve"> E-mail address: bunver</w:t>
      </w:r>
      <w:r w:rsidRPr="00E644AC">
        <w:rPr>
          <w:sz w:val="16"/>
          <w:szCs w:val="16"/>
        </w:rPr>
        <w:t>@btk.gov.tr</w:t>
      </w:r>
    </w:p>
    <w:p w:rsidR="008607F2" w:rsidRDefault="008607F2" w:rsidP="008607F2">
      <w:pPr>
        <w:pStyle w:val="Fodnotetekst"/>
        <w:jc w:val="both"/>
        <w:rPr>
          <w:sz w:val="16"/>
          <w:szCs w:val="16"/>
        </w:rPr>
      </w:pPr>
    </w:p>
    <w:p w:rsidR="008607F2" w:rsidRPr="000D39A0" w:rsidRDefault="008607F2" w:rsidP="008607F2">
      <w:pPr>
        <w:pStyle w:val="Fodnotetekst"/>
        <w:jc w:val="both"/>
        <w:rPr>
          <w:sz w:val="16"/>
          <w:szCs w:val="16"/>
        </w:rPr>
      </w:pPr>
      <w:r w:rsidRPr="000D39A0">
        <w:rPr>
          <w:sz w:val="16"/>
          <w:szCs w:val="16"/>
        </w:rPr>
        <w:t>The views and statements expressed in this article are those of the author</w:t>
      </w:r>
      <w:r>
        <w:rPr>
          <w:sz w:val="16"/>
          <w:szCs w:val="16"/>
        </w:rPr>
        <w:t>s</w:t>
      </w:r>
      <w:r w:rsidRPr="000D39A0">
        <w:rPr>
          <w:sz w:val="16"/>
          <w:szCs w:val="16"/>
        </w:rPr>
        <w:t>, and do not reflect those of Information Communications and Technologies Authority</w:t>
      </w:r>
      <w:r w:rsidR="00DE7E8E">
        <w:rPr>
          <w:sz w:val="16"/>
          <w:szCs w:val="16"/>
        </w:rPr>
        <w:t xml:space="preserve"> (ICTA)</w:t>
      </w:r>
      <w:r w:rsidRPr="000D39A0">
        <w:rPr>
          <w:sz w:val="16"/>
          <w:szCs w:val="16"/>
        </w:rPr>
        <w:t>.</w:t>
      </w:r>
    </w:p>
    <w:p w:rsidR="008607F2" w:rsidRPr="00D01403" w:rsidRDefault="008607F2" w:rsidP="008607F2">
      <w:pPr>
        <w:pStyle w:val="Fodnotetekst"/>
        <w:rPr>
          <w:lang w:val="tr-T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82"/>
    <w:rsid w:val="00000E18"/>
    <w:rsid w:val="00001088"/>
    <w:rsid w:val="00001203"/>
    <w:rsid w:val="00002571"/>
    <w:rsid w:val="00002AC4"/>
    <w:rsid w:val="00003C95"/>
    <w:rsid w:val="000040E8"/>
    <w:rsid w:val="000042BC"/>
    <w:rsid w:val="000044AD"/>
    <w:rsid w:val="0001315D"/>
    <w:rsid w:val="00013300"/>
    <w:rsid w:val="000133F8"/>
    <w:rsid w:val="00013978"/>
    <w:rsid w:val="00015D1B"/>
    <w:rsid w:val="00015EC8"/>
    <w:rsid w:val="00017C19"/>
    <w:rsid w:val="00020DE9"/>
    <w:rsid w:val="00021EF4"/>
    <w:rsid w:val="00022E06"/>
    <w:rsid w:val="00024829"/>
    <w:rsid w:val="00026571"/>
    <w:rsid w:val="000275E0"/>
    <w:rsid w:val="00031241"/>
    <w:rsid w:val="00032873"/>
    <w:rsid w:val="00034D34"/>
    <w:rsid w:val="00035C5D"/>
    <w:rsid w:val="00035DB7"/>
    <w:rsid w:val="000372FB"/>
    <w:rsid w:val="000413B5"/>
    <w:rsid w:val="00044EF8"/>
    <w:rsid w:val="00044F5A"/>
    <w:rsid w:val="00045A77"/>
    <w:rsid w:val="0004644D"/>
    <w:rsid w:val="000515A1"/>
    <w:rsid w:val="00052574"/>
    <w:rsid w:val="000557C2"/>
    <w:rsid w:val="00060C76"/>
    <w:rsid w:val="00061981"/>
    <w:rsid w:val="00061D2D"/>
    <w:rsid w:val="00062EE0"/>
    <w:rsid w:val="000638C2"/>
    <w:rsid w:val="00064C41"/>
    <w:rsid w:val="000650DA"/>
    <w:rsid w:val="000651F5"/>
    <w:rsid w:val="00065899"/>
    <w:rsid w:val="00066A7F"/>
    <w:rsid w:val="0006736D"/>
    <w:rsid w:val="00070C9B"/>
    <w:rsid w:val="00072918"/>
    <w:rsid w:val="0007370A"/>
    <w:rsid w:val="00075187"/>
    <w:rsid w:val="000758E2"/>
    <w:rsid w:val="00076105"/>
    <w:rsid w:val="0007673D"/>
    <w:rsid w:val="00077051"/>
    <w:rsid w:val="0008002E"/>
    <w:rsid w:val="000848C8"/>
    <w:rsid w:val="00084EA5"/>
    <w:rsid w:val="000902D4"/>
    <w:rsid w:val="00092A50"/>
    <w:rsid w:val="00095081"/>
    <w:rsid w:val="000978B3"/>
    <w:rsid w:val="000A1F25"/>
    <w:rsid w:val="000A2FC6"/>
    <w:rsid w:val="000A36FC"/>
    <w:rsid w:val="000A54A8"/>
    <w:rsid w:val="000A67FF"/>
    <w:rsid w:val="000B105F"/>
    <w:rsid w:val="000B1D34"/>
    <w:rsid w:val="000B40C4"/>
    <w:rsid w:val="000B6B52"/>
    <w:rsid w:val="000C2199"/>
    <w:rsid w:val="000C3CB7"/>
    <w:rsid w:val="000C46B8"/>
    <w:rsid w:val="000C4A66"/>
    <w:rsid w:val="000C6F05"/>
    <w:rsid w:val="000D18D4"/>
    <w:rsid w:val="000D3929"/>
    <w:rsid w:val="000D436B"/>
    <w:rsid w:val="000E0AD0"/>
    <w:rsid w:val="000E10F5"/>
    <w:rsid w:val="000E12D5"/>
    <w:rsid w:val="000E30C4"/>
    <w:rsid w:val="000E30CE"/>
    <w:rsid w:val="000E4ECC"/>
    <w:rsid w:val="000E59A8"/>
    <w:rsid w:val="000E660C"/>
    <w:rsid w:val="000F0ACD"/>
    <w:rsid w:val="000F2303"/>
    <w:rsid w:val="000F444C"/>
    <w:rsid w:val="00101255"/>
    <w:rsid w:val="00101592"/>
    <w:rsid w:val="001017DD"/>
    <w:rsid w:val="00101B7C"/>
    <w:rsid w:val="001045B1"/>
    <w:rsid w:val="00112064"/>
    <w:rsid w:val="00112345"/>
    <w:rsid w:val="0011377D"/>
    <w:rsid w:val="001138A7"/>
    <w:rsid w:val="00120A4B"/>
    <w:rsid w:val="00121E29"/>
    <w:rsid w:val="00125C22"/>
    <w:rsid w:val="00126221"/>
    <w:rsid w:val="001262AA"/>
    <w:rsid w:val="00126DF3"/>
    <w:rsid w:val="00130759"/>
    <w:rsid w:val="0013290E"/>
    <w:rsid w:val="0013303C"/>
    <w:rsid w:val="00134E9B"/>
    <w:rsid w:val="00136194"/>
    <w:rsid w:val="001368E3"/>
    <w:rsid w:val="00136AE6"/>
    <w:rsid w:val="001445A8"/>
    <w:rsid w:val="00145373"/>
    <w:rsid w:val="001458B5"/>
    <w:rsid w:val="00151A27"/>
    <w:rsid w:val="00152AB7"/>
    <w:rsid w:val="001561A5"/>
    <w:rsid w:val="001569B0"/>
    <w:rsid w:val="00156F12"/>
    <w:rsid w:val="00160B30"/>
    <w:rsid w:val="00161D23"/>
    <w:rsid w:val="00162046"/>
    <w:rsid w:val="00162E4C"/>
    <w:rsid w:val="001637FD"/>
    <w:rsid w:val="001642F6"/>
    <w:rsid w:val="00165546"/>
    <w:rsid w:val="00165C9D"/>
    <w:rsid w:val="0016606B"/>
    <w:rsid w:val="00172A3C"/>
    <w:rsid w:val="00173073"/>
    <w:rsid w:val="00173A68"/>
    <w:rsid w:val="00173E5D"/>
    <w:rsid w:val="00176D23"/>
    <w:rsid w:val="0017775D"/>
    <w:rsid w:val="0018137F"/>
    <w:rsid w:val="001834BD"/>
    <w:rsid w:val="00183A3D"/>
    <w:rsid w:val="00184BB1"/>
    <w:rsid w:val="00185FC8"/>
    <w:rsid w:val="00190690"/>
    <w:rsid w:val="00191631"/>
    <w:rsid w:val="0019183A"/>
    <w:rsid w:val="001924D4"/>
    <w:rsid w:val="00193E97"/>
    <w:rsid w:val="001941C0"/>
    <w:rsid w:val="0019532A"/>
    <w:rsid w:val="00197D89"/>
    <w:rsid w:val="001A0518"/>
    <w:rsid w:val="001A1133"/>
    <w:rsid w:val="001A118A"/>
    <w:rsid w:val="001A1242"/>
    <w:rsid w:val="001A1AC5"/>
    <w:rsid w:val="001A295F"/>
    <w:rsid w:val="001A3117"/>
    <w:rsid w:val="001A411D"/>
    <w:rsid w:val="001A46EC"/>
    <w:rsid w:val="001A4F3D"/>
    <w:rsid w:val="001A6580"/>
    <w:rsid w:val="001A7141"/>
    <w:rsid w:val="001A756F"/>
    <w:rsid w:val="001B15BA"/>
    <w:rsid w:val="001B289A"/>
    <w:rsid w:val="001B4435"/>
    <w:rsid w:val="001B5C2F"/>
    <w:rsid w:val="001B6755"/>
    <w:rsid w:val="001C1205"/>
    <w:rsid w:val="001C4C5F"/>
    <w:rsid w:val="001C6CC8"/>
    <w:rsid w:val="001C7F11"/>
    <w:rsid w:val="001D0A7A"/>
    <w:rsid w:val="001D3959"/>
    <w:rsid w:val="001D3AC2"/>
    <w:rsid w:val="001D3C38"/>
    <w:rsid w:val="001D41A6"/>
    <w:rsid w:val="001D6D2E"/>
    <w:rsid w:val="001E0EE9"/>
    <w:rsid w:val="001E198B"/>
    <w:rsid w:val="001E354F"/>
    <w:rsid w:val="001E6DE8"/>
    <w:rsid w:val="001E73FC"/>
    <w:rsid w:val="001F0340"/>
    <w:rsid w:val="001F2497"/>
    <w:rsid w:val="001F24C4"/>
    <w:rsid w:val="001F4FBF"/>
    <w:rsid w:val="001F7178"/>
    <w:rsid w:val="00200FA1"/>
    <w:rsid w:val="002023C8"/>
    <w:rsid w:val="00203684"/>
    <w:rsid w:val="002068E0"/>
    <w:rsid w:val="00213617"/>
    <w:rsid w:val="00213633"/>
    <w:rsid w:val="00213975"/>
    <w:rsid w:val="002148FD"/>
    <w:rsid w:val="00223689"/>
    <w:rsid w:val="00224EA9"/>
    <w:rsid w:val="002261EA"/>
    <w:rsid w:val="00230FC8"/>
    <w:rsid w:val="00231528"/>
    <w:rsid w:val="00234BE1"/>
    <w:rsid w:val="00235C24"/>
    <w:rsid w:val="00236FD2"/>
    <w:rsid w:val="00240ED7"/>
    <w:rsid w:val="00242675"/>
    <w:rsid w:val="0024300F"/>
    <w:rsid w:val="0025036C"/>
    <w:rsid w:val="00253360"/>
    <w:rsid w:val="002539A1"/>
    <w:rsid w:val="002564FE"/>
    <w:rsid w:val="00257417"/>
    <w:rsid w:val="00261207"/>
    <w:rsid w:val="002622BE"/>
    <w:rsid w:val="002647BF"/>
    <w:rsid w:val="00266104"/>
    <w:rsid w:val="00267012"/>
    <w:rsid w:val="00270304"/>
    <w:rsid w:val="00270682"/>
    <w:rsid w:val="00273968"/>
    <w:rsid w:val="00274735"/>
    <w:rsid w:val="002763DB"/>
    <w:rsid w:val="002778BD"/>
    <w:rsid w:val="0028123E"/>
    <w:rsid w:val="00282275"/>
    <w:rsid w:val="0028394D"/>
    <w:rsid w:val="00285C47"/>
    <w:rsid w:val="00291532"/>
    <w:rsid w:val="00292236"/>
    <w:rsid w:val="00292304"/>
    <w:rsid w:val="00296416"/>
    <w:rsid w:val="002970A4"/>
    <w:rsid w:val="002976CE"/>
    <w:rsid w:val="002A1D41"/>
    <w:rsid w:val="002A4A3B"/>
    <w:rsid w:val="002A4F67"/>
    <w:rsid w:val="002A5F23"/>
    <w:rsid w:val="002B0DA1"/>
    <w:rsid w:val="002B16B8"/>
    <w:rsid w:val="002C0628"/>
    <w:rsid w:val="002C0944"/>
    <w:rsid w:val="002C7542"/>
    <w:rsid w:val="002D0ED6"/>
    <w:rsid w:val="002D68B4"/>
    <w:rsid w:val="002E03FC"/>
    <w:rsid w:val="002E0730"/>
    <w:rsid w:val="002E17AC"/>
    <w:rsid w:val="002E6FE1"/>
    <w:rsid w:val="002E7661"/>
    <w:rsid w:val="002F184E"/>
    <w:rsid w:val="002F2287"/>
    <w:rsid w:val="002F22B2"/>
    <w:rsid w:val="002F289F"/>
    <w:rsid w:val="002F3018"/>
    <w:rsid w:val="002F4947"/>
    <w:rsid w:val="002F5D35"/>
    <w:rsid w:val="00302053"/>
    <w:rsid w:val="00302D8F"/>
    <w:rsid w:val="00302DA8"/>
    <w:rsid w:val="003052D6"/>
    <w:rsid w:val="0031312A"/>
    <w:rsid w:val="00313884"/>
    <w:rsid w:val="00315256"/>
    <w:rsid w:val="003237F2"/>
    <w:rsid w:val="00327646"/>
    <w:rsid w:val="003307D2"/>
    <w:rsid w:val="00336CE6"/>
    <w:rsid w:val="0034249C"/>
    <w:rsid w:val="00342F24"/>
    <w:rsid w:val="003503DE"/>
    <w:rsid w:val="00352A06"/>
    <w:rsid w:val="00353E5B"/>
    <w:rsid w:val="00353FEA"/>
    <w:rsid w:val="00354047"/>
    <w:rsid w:val="00355727"/>
    <w:rsid w:val="003573CC"/>
    <w:rsid w:val="0036000A"/>
    <w:rsid w:val="00361543"/>
    <w:rsid w:val="003636EE"/>
    <w:rsid w:val="00364A89"/>
    <w:rsid w:val="0036538D"/>
    <w:rsid w:val="003717D4"/>
    <w:rsid w:val="00372D51"/>
    <w:rsid w:val="00373332"/>
    <w:rsid w:val="003733C7"/>
    <w:rsid w:val="003742BE"/>
    <w:rsid w:val="003745B5"/>
    <w:rsid w:val="003748A5"/>
    <w:rsid w:val="003757AD"/>
    <w:rsid w:val="00376060"/>
    <w:rsid w:val="00376D09"/>
    <w:rsid w:val="0037735E"/>
    <w:rsid w:val="00377D0F"/>
    <w:rsid w:val="0038070A"/>
    <w:rsid w:val="003809F1"/>
    <w:rsid w:val="0038355D"/>
    <w:rsid w:val="00390091"/>
    <w:rsid w:val="00392550"/>
    <w:rsid w:val="00395CCE"/>
    <w:rsid w:val="00396283"/>
    <w:rsid w:val="00396D77"/>
    <w:rsid w:val="00397499"/>
    <w:rsid w:val="003A1D43"/>
    <w:rsid w:val="003A36F3"/>
    <w:rsid w:val="003A4192"/>
    <w:rsid w:val="003A4847"/>
    <w:rsid w:val="003B329B"/>
    <w:rsid w:val="003B4BC8"/>
    <w:rsid w:val="003B4CD9"/>
    <w:rsid w:val="003B4D6B"/>
    <w:rsid w:val="003B5716"/>
    <w:rsid w:val="003B5AE2"/>
    <w:rsid w:val="003B6419"/>
    <w:rsid w:val="003B6FD5"/>
    <w:rsid w:val="003C0F97"/>
    <w:rsid w:val="003C32C1"/>
    <w:rsid w:val="003C4DFE"/>
    <w:rsid w:val="003C5E6E"/>
    <w:rsid w:val="003D1E4C"/>
    <w:rsid w:val="003D381A"/>
    <w:rsid w:val="003D3967"/>
    <w:rsid w:val="003D62B2"/>
    <w:rsid w:val="003D64EC"/>
    <w:rsid w:val="003D7D85"/>
    <w:rsid w:val="003E1FD6"/>
    <w:rsid w:val="003E2C13"/>
    <w:rsid w:val="003E326E"/>
    <w:rsid w:val="003E3E1A"/>
    <w:rsid w:val="003E4885"/>
    <w:rsid w:val="003E6485"/>
    <w:rsid w:val="003E7A5C"/>
    <w:rsid w:val="003E7F36"/>
    <w:rsid w:val="003F106C"/>
    <w:rsid w:val="003F2023"/>
    <w:rsid w:val="003F4489"/>
    <w:rsid w:val="003F6A2E"/>
    <w:rsid w:val="00402F57"/>
    <w:rsid w:val="00404FFB"/>
    <w:rsid w:val="004062B9"/>
    <w:rsid w:val="00406546"/>
    <w:rsid w:val="00406998"/>
    <w:rsid w:val="0040734D"/>
    <w:rsid w:val="00407631"/>
    <w:rsid w:val="004104C0"/>
    <w:rsid w:val="00411EA7"/>
    <w:rsid w:val="00412323"/>
    <w:rsid w:val="0041414A"/>
    <w:rsid w:val="00414235"/>
    <w:rsid w:val="0041647E"/>
    <w:rsid w:val="004203F6"/>
    <w:rsid w:val="00432BDC"/>
    <w:rsid w:val="00432EA6"/>
    <w:rsid w:val="004341F8"/>
    <w:rsid w:val="0043441F"/>
    <w:rsid w:val="00436859"/>
    <w:rsid w:val="0043790B"/>
    <w:rsid w:val="004404B9"/>
    <w:rsid w:val="00441189"/>
    <w:rsid w:val="004413EE"/>
    <w:rsid w:val="00441937"/>
    <w:rsid w:val="00443D1E"/>
    <w:rsid w:val="00445587"/>
    <w:rsid w:val="00445606"/>
    <w:rsid w:val="00445947"/>
    <w:rsid w:val="00450036"/>
    <w:rsid w:val="0045215E"/>
    <w:rsid w:val="004540B0"/>
    <w:rsid w:val="00457330"/>
    <w:rsid w:val="00457413"/>
    <w:rsid w:val="0045749B"/>
    <w:rsid w:val="004621FB"/>
    <w:rsid w:val="00464DB4"/>
    <w:rsid w:val="004650BF"/>
    <w:rsid w:val="00465AE5"/>
    <w:rsid w:val="00472845"/>
    <w:rsid w:val="004772FC"/>
    <w:rsid w:val="0048308F"/>
    <w:rsid w:val="00484D7C"/>
    <w:rsid w:val="00486778"/>
    <w:rsid w:val="00490B2B"/>
    <w:rsid w:val="004918C2"/>
    <w:rsid w:val="00492146"/>
    <w:rsid w:val="00492CF7"/>
    <w:rsid w:val="00495A18"/>
    <w:rsid w:val="004972E3"/>
    <w:rsid w:val="004A0121"/>
    <w:rsid w:val="004A0C3F"/>
    <w:rsid w:val="004A22C3"/>
    <w:rsid w:val="004A2CC5"/>
    <w:rsid w:val="004A4EFE"/>
    <w:rsid w:val="004A7486"/>
    <w:rsid w:val="004B053F"/>
    <w:rsid w:val="004B228C"/>
    <w:rsid w:val="004B264D"/>
    <w:rsid w:val="004B2971"/>
    <w:rsid w:val="004B2981"/>
    <w:rsid w:val="004B4D55"/>
    <w:rsid w:val="004B5AB5"/>
    <w:rsid w:val="004B65DD"/>
    <w:rsid w:val="004C4BE0"/>
    <w:rsid w:val="004C4FF0"/>
    <w:rsid w:val="004D41FE"/>
    <w:rsid w:val="004D5315"/>
    <w:rsid w:val="004D6210"/>
    <w:rsid w:val="004D6839"/>
    <w:rsid w:val="004D6ADA"/>
    <w:rsid w:val="004E167D"/>
    <w:rsid w:val="004E361E"/>
    <w:rsid w:val="004E744C"/>
    <w:rsid w:val="004E7946"/>
    <w:rsid w:val="004F293C"/>
    <w:rsid w:val="004F308E"/>
    <w:rsid w:val="004F42D4"/>
    <w:rsid w:val="004F46B9"/>
    <w:rsid w:val="004F5430"/>
    <w:rsid w:val="004F7702"/>
    <w:rsid w:val="0050482B"/>
    <w:rsid w:val="00504962"/>
    <w:rsid w:val="00504B26"/>
    <w:rsid w:val="0051709C"/>
    <w:rsid w:val="005239EF"/>
    <w:rsid w:val="00523C04"/>
    <w:rsid w:val="00523D4B"/>
    <w:rsid w:val="00525669"/>
    <w:rsid w:val="00526ABB"/>
    <w:rsid w:val="00530558"/>
    <w:rsid w:val="0053142C"/>
    <w:rsid w:val="00533B13"/>
    <w:rsid w:val="00533C4B"/>
    <w:rsid w:val="00533CC0"/>
    <w:rsid w:val="0053530C"/>
    <w:rsid w:val="0053674C"/>
    <w:rsid w:val="0054147A"/>
    <w:rsid w:val="005501E0"/>
    <w:rsid w:val="00550C91"/>
    <w:rsid w:val="00551048"/>
    <w:rsid w:val="00554721"/>
    <w:rsid w:val="005550DE"/>
    <w:rsid w:val="00560119"/>
    <w:rsid w:val="00561468"/>
    <w:rsid w:val="00561B6C"/>
    <w:rsid w:val="00562C3D"/>
    <w:rsid w:val="0056354B"/>
    <w:rsid w:val="00564553"/>
    <w:rsid w:val="00564B92"/>
    <w:rsid w:val="00564BAF"/>
    <w:rsid w:val="00565B84"/>
    <w:rsid w:val="005664EB"/>
    <w:rsid w:val="005719BD"/>
    <w:rsid w:val="00571D75"/>
    <w:rsid w:val="0057395E"/>
    <w:rsid w:val="00574CD9"/>
    <w:rsid w:val="00576435"/>
    <w:rsid w:val="0057796A"/>
    <w:rsid w:val="00581C72"/>
    <w:rsid w:val="005820B6"/>
    <w:rsid w:val="0058349A"/>
    <w:rsid w:val="0058456A"/>
    <w:rsid w:val="005873AE"/>
    <w:rsid w:val="00587496"/>
    <w:rsid w:val="00587C4E"/>
    <w:rsid w:val="00590CB4"/>
    <w:rsid w:val="00590DFD"/>
    <w:rsid w:val="00592CD2"/>
    <w:rsid w:val="0059451F"/>
    <w:rsid w:val="00595AD6"/>
    <w:rsid w:val="0059608E"/>
    <w:rsid w:val="00596ECE"/>
    <w:rsid w:val="005A02EC"/>
    <w:rsid w:val="005A6AB9"/>
    <w:rsid w:val="005B0CAE"/>
    <w:rsid w:val="005B19FE"/>
    <w:rsid w:val="005B2BDC"/>
    <w:rsid w:val="005B7A25"/>
    <w:rsid w:val="005C02AB"/>
    <w:rsid w:val="005C0C4F"/>
    <w:rsid w:val="005C0C5F"/>
    <w:rsid w:val="005C4499"/>
    <w:rsid w:val="005C5A62"/>
    <w:rsid w:val="005C6511"/>
    <w:rsid w:val="005C66D8"/>
    <w:rsid w:val="005D3B0F"/>
    <w:rsid w:val="005D3D1D"/>
    <w:rsid w:val="005D4206"/>
    <w:rsid w:val="005D5786"/>
    <w:rsid w:val="005E0C72"/>
    <w:rsid w:val="005E2314"/>
    <w:rsid w:val="005E332F"/>
    <w:rsid w:val="005E341C"/>
    <w:rsid w:val="005F1201"/>
    <w:rsid w:val="005F1FA7"/>
    <w:rsid w:val="005F23B9"/>
    <w:rsid w:val="005F2601"/>
    <w:rsid w:val="005F60C7"/>
    <w:rsid w:val="005F64AC"/>
    <w:rsid w:val="006008D7"/>
    <w:rsid w:val="00601710"/>
    <w:rsid w:val="00603407"/>
    <w:rsid w:val="00606B49"/>
    <w:rsid w:val="006120F3"/>
    <w:rsid w:val="00613580"/>
    <w:rsid w:val="00615768"/>
    <w:rsid w:val="00615EBD"/>
    <w:rsid w:val="006176B9"/>
    <w:rsid w:val="0062223C"/>
    <w:rsid w:val="0062412A"/>
    <w:rsid w:val="00624BDA"/>
    <w:rsid w:val="00624F55"/>
    <w:rsid w:val="006265D7"/>
    <w:rsid w:val="006301EE"/>
    <w:rsid w:val="006304DE"/>
    <w:rsid w:val="00632BC7"/>
    <w:rsid w:val="00633120"/>
    <w:rsid w:val="0063332E"/>
    <w:rsid w:val="00633D1B"/>
    <w:rsid w:val="00634F5D"/>
    <w:rsid w:val="00644330"/>
    <w:rsid w:val="00644DC7"/>
    <w:rsid w:val="00647370"/>
    <w:rsid w:val="0065030A"/>
    <w:rsid w:val="0065124C"/>
    <w:rsid w:val="00654BE7"/>
    <w:rsid w:val="00656CA0"/>
    <w:rsid w:val="00657D6D"/>
    <w:rsid w:val="00661267"/>
    <w:rsid w:val="00664072"/>
    <w:rsid w:val="006647D0"/>
    <w:rsid w:val="00665BD0"/>
    <w:rsid w:val="00666BFA"/>
    <w:rsid w:val="00670FDD"/>
    <w:rsid w:val="00671177"/>
    <w:rsid w:val="00672803"/>
    <w:rsid w:val="0068069A"/>
    <w:rsid w:val="0068181A"/>
    <w:rsid w:val="00681E91"/>
    <w:rsid w:val="006845D5"/>
    <w:rsid w:val="006849BD"/>
    <w:rsid w:val="00686F47"/>
    <w:rsid w:val="006904E3"/>
    <w:rsid w:val="006908DC"/>
    <w:rsid w:val="00690C0F"/>
    <w:rsid w:val="00691B63"/>
    <w:rsid w:val="006920BA"/>
    <w:rsid w:val="006937DB"/>
    <w:rsid w:val="00695425"/>
    <w:rsid w:val="00697C64"/>
    <w:rsid w:val="006A0804"/>
    <w:rsid w:val="006A0DED"/>
    <w:rsid w:val="006A67D5"/>
    <w:rsid w:val="006A6C89"/>
    <w:rsid w:val="006A7BD7"/>
    <w:rsid w:val="006A7D5B"/>
    <w:rsid w:val="006B019A"/>
    <w:rsid w:val="006B0307"/>
    <w:rsid w:val="006B089F"/>
    <w:rsid w:val="006B19CA"/>
    <w:rsid w:val="006B3C88"/>
    <w:rsid w:val="006C7F75"/>
    <w:rsid w:val="006D154B"/>
    <w:rsid w:val="006D2216"/>
    <w:rsid w:val="006D3762"/>
    <w:rsid w:val="006D5115"/>
    <w:rsid w:val="006D6721"/>
    <w:rsid w:val="006D6ABD"/>
    <w:rsid w:val="006D6E86"/>
    <w:rsid w:val="006D733A"/>
    <w:rsid w:val="006E036F"/>
    <w:rsid w:val="006E0A37"/>
    <w:rsid w:val="006E10C1"/>
    <w:rsid w:val="006E2B53"/>
    <w:rsid w:val="006E4A4A"/>
    <w:rsid w:val="006F0118"/>
    <w:rsid w:val="006F3D9A"/>
    <w:rsid w:val="006F4A88"/>
    <w:rsid w:val="006F5F42"/>
    <w:rsid w:val="00703770"/>
    <w:rsid w:val="00703C54"/>
    <w:rsid w:val="0070424A"/>
    <w:rsid w:val="007042E5"/>
    <w:rsid w:val="00704F1F"/>
    <w:rsid w:val="007052F8"/>
    <w:rsid w:val="0070567A"/>
    <w:rsid w:val="0071023D"/>
    <w:rsid w:val="0071365D"/>
    <w:rsid w:val="00720BD8"/>
    <w:rsid w:val="007224A8"/>
    <w:rsid w:val="007224FB"/>
    <w:rsid w:val="00723071"/>
    <w:rsid w:val="00724EAB"/>
    <w:rsid w:val="00726CAA"/>
    <w:rsid w:val="00726F0F"/>
    <w:rsid w:val="007325E6"/>
    <w:rsid w:val="007334FD"/>
    <w:rsid w:val="00733553"/>
    <w:rsid w:val="0073375C"/>
    <w:rsid w:val="00734E5E"/>
    <w:rsid w:val="007354DC"/>
    <w:rsid w:val="007355FA"/>
    <w:rsid w:val="00737893"/>
    <w:rsid w:val="00740518"/>
    <w:rsid w:val="00740B91"/>
    <w:rsid w:val="00741079"/>
    <w:rsid w:val="00742333"/>
    <w:rsid w:val="0074445C"/>
    <w:rsid w:val="00745573"/>
    <w:rsid w:val="00745EA8"/>
    <w:rsid w:val="00747097"/>
    <w:rsid w:val="0075104E"/>
    <w:rsid w:val="00752418"/>
    <w:rsid w:val="007630F3"/>
    <w:rsid w:val="00766B89"/>
    <w:rsid w:val="00775DA4"/>
    <w:rsid w:val="007814B5"/>
    <w:rsid w:val="00782F16"/>
    <w:rsid w:val="00784668"/>
    <w:rsid w:val="00787548"/>
    <w:rsid w:val="007877D4"/>
    <w:rsid w:val="00787AE2"/>
    <w:rsid w:val="00790840"/>
    <w:rsid w:val="007915A0"/>
    <w:rsid w:val="0079763A"/>
    <w:rsid w:val="007A169E"/>
    <w:rsid w:val="007A3419"/>
    <w:rsid w:val="007A452B"/>
    <w:rsid w:val="007A4B2F"/>
    <w:rsid w:val="007A4F2D"/>
    <w:rsid w:val="007B51AC"/>
    <w:rsid w:val="007B5291"/>
    <w:rsid w:val="007B74BC"/>
    <w:rsid w:val="007C3B66"/>
    <w:rsid w:val="007C5BC5"/>
    <w:rsid w:val="007C724B"/>
    <w:rsid w:val="007C780E"/>
    <w:rsid w:val="007D266C"/>
    <w:rsid w:val="007D4620"/>
    <w:rsid w:val="007D614C"/>
    <w:rsid w:val="007F01E2"/>
    <w:rsid w:val="007F1343"/>
    <w:rsid w:val="007F1FDB"/>
    <w:rsid w:val="007F3AE5"/>
    <w:rsid w:val="007F6188"/>
    <w:rsid w:val="00801390"/>
    <w:rsid w:val="00801D83"/>
    <w:rsid w:val="00802DC1"/>
    <w:rsid w:val="0080313D"/>
    <w:rsid w:val="00804ECD"/>
    <w:rsid w:val="0080573F"/>
    <w:rsid w:val="008064F2"/>
    <w:rsid w:val="00807422"/>
    <w:rsid w:val="00812D5F"/>
    <w:rsid w:val="00817435"/>
    <w:rsid w:val="00820213"/>
    <w:rsid w:val="00821D15"/>
    <w:rsid w:val="00824091"/>
    <w:rsid w:val="00824868"/>
    <w:rsid w:val="00824883"/>
    <w:rsid w:val="00824D4A"/>
    <w:rsid w:val="00825E3D"/>
    <w:rsid w:val="0082634F"/>
    <w:rsid w:val="008264D7"/>
    <w:rsid w:val="00827CEA"/>
    <w:rsid w:val="008312A4"/>
    <w:rsid w:val="00835938"/>
    <w:rsid w:val="00835D89"/>
    <w:rsid w:val="00841893"/>
    <w:rsid w:val="00843C45"/>
    <w:rsid w:val="00843DE4"/>
    <w:rsid w:val="00847064"/>
    <w:rsid w:val="00847A14"/>
    <w:rsid w:val="00850030"/>
    <w:rsid w:val="00850D73"/>
    <w:rsid w:val="00856A50"/>
    <w:rsid w:val="00857C5B"/>
    <w:rsid w:val="00857EFC"/>
    <w:rsid w:val="00860454"/>
    <w:rsid w:val="008607F2"/>
    <w:rsid w:val="00862619"/>
    <w:rsid w:val="00862D74"/>
    <w:rsid w:val="00862F34"/>
    <w:rsid w:val="008649BA"/>
    <w:rsid w:val="00867B04"/>
    <w:rsid w:val="00867E37"/>
    <w:rsid w:val="008715F8"/>
    <w:rsid w:val="00871EA4"/>
    <w:rsid w:val="00872FF5"/>
    <w:rsid w:val="008734CE"/>
    <w:rsid w:val="0088141A"/>
    <w:rsid w:val="00881567"/>
    <w:rsid w:val="00882002"/>
    <w:rsid w:val="0088375E"/>
    <w:rsid w:val="00884ED6"/>
    <w:rsid w:val="008852CB"/>
    <w:rsid w:val="00886FB7"/>
    <w:rsid w:val="0088738C"/>
    <w:rsid w:val="00890E47"/>
    <w:rsid w:val="00891653"/>
    <w:rsid w:val="00897740"/>
    <w:rsid w:val="0089792D"/>
    <w:rsid w:val="00897C8B"/>
    <w:rsid w:val="008A1445"/>
    <w:rsid w:val="008A3EEF"/>
    <w:rsid w:val="008A4138"/>
    <w:rsid w:val="008A4865"/>
    <w:rsid w:val="008A49FF"/>
    <w:rsid w:val="008A4A79"/>
    <w:rsid w:val="008A5DE9"/>
    <w:rsid w:val="008A6B5D"/>
    <w:rsid w:val="008B2825"/>
    <w:rsid w:val="008B2FAC"/>
    <w:rsid w:val="008B3E09"/>
    <w:rsid w:val="008B538C"/>
    <w:rsid w:val="008B64A2"/>
    <w:rsid w:val="008B6A34"/>
    <w:rsid w:val="008C1E91"/>
    <w:rsid w:val="008C7EF4"/>
    <w:rsid w:val="008D42BC"/>
    <w:rsid w:val="008D782F"/>
    <w:rsid w:val="008E0422"/>
    <w:rsid w:val="008E2E89"/>
    <w:rsid w:val="008E306B"/>
    <w:rsid w:val="008E4D92"/>
    <w:rsid w:val="008E5ECE"/>
    <w:rsid w:val="008F00AF"/>
    <w:rsid w:val="008F0C73"/>
    <w:rsid w:val="008F2883"/>
    <w:rsid w:val="008F39A9"/>
    <w:rsid w:val="008F4AA2"/>
    <w:rsid w:val="008F5DF8"/>
    <w:rsid w:val="008F613E"/>
    <w:rsid w:val="00905C72"/>
    <w:rsid w:val="0091002F"/>
    <w:rsid w:val="00910682"/>
    <w:rsid w:val="009107D1"/>
    <w:rsid w:val="00911DD8"/>
    <w:rsid w:val="00912EBB"/>
    <w:rsid w:val="0091369A"/>
    <w:rsid w:val="00917581"/>
    <w:rsid w:val="009177F2"/>
    <w:rsid w:val="00922E36"/>
    <w:rsid w:val="009231D7"/>
    <w:rsid w:val="00923FBC"/>
    <w:rsid w:val="00924DA5"/>
    <w:rsid w:val="00925F8A"/>
    <w:rsid w:val="009301EC"/>
    <w:rsid w:val="00930C39"/>
    <w:rsid w:val="00933264"/>
    <w:rsid w:val="0093348C"/>
    <w:rsid w:val="00937709"/>
    <w:rsid w:val="009417A0"/>
    <w:rsid w:val="0094286B"/>
    <w:rsid w:val="00943E23"/>
    <w:rsid w:val="00943F79"/>
    <w:rsid w:val="009445B6"/>
    <w:rsid w:val="0094478C"/>
    <w:rsid w:val="009448D4"/>
    <w:rsid w:val="009461DB"/>
    <w:rsid w:val="00950334"/>
    <w:rsid w:val="00951CF8"/>
    <w:rsid w:val="00951FE1"/>
    <w:rsid w:val="00952C59"/>
    <w:rsid w:val="009534AE"/>
    <w:rsid w:val="00956384"/>
    <w:rsid w:val="0095784D"/>
    <w:rsid w:val="00957881"/>
    <w:rsid w:val="00961E62"/>
    <w:rsid w:val="00965160"/>
    <w:rsid w:val="00965E67"/>
    <w:rsid w:val="009672CF"/>
    <w:rsid w:val="00971395"/>
    <w:rsid w:val="00972703"/>
    <w:rsid w:val="00973E99"/>
    <w:rsid w:val="00974568"/>
    <w:rsid w:val="00974BEA"/>
    <w:rsid w:val="00976BE4"/>
    <w:rsid w:val="009776E8"/>
    <w:rsid w:val="00980145"/>
    <w:rsid w:val="00983AB7"/>
    <w:rsid w:val="00984F0F"/>
    <w:rsid w:val="00985463"/>
    <w:rsid w:val="009867F0"/>
    <w:rsid w:val="00986808"/>
    <w:rsid w:val="0099130C"/>
    <w:rsid w:val="00991726"/>
    <w:rsid w:val="0099223D"/>
    <w:rsid w:val="009923E1"/>
    <w:rsid w:val="00995175"/>
    <w:rsid w:val="00995F69"/>
    <w:rsid w:val="009A2198"/>
    <w:rsid w:val="009A788D"/>
    <w:rsid w:val="009B2D72"/>
    <w:rsid w:val="009B3454"/>
    <w:rsid w:val="009B5463"/>
    <w:rsid w:val="009B790A"/>
    <w:rsid w:val="009C0DF4"/>
    <w:rsid w:val="009C2F48"/>
    <w:rsid w:val="009C4FD5"/>
    <w:rsid w:val="009C579E"/>
    <w:rsid w:val="009D1462"/>
    <w:rsid w:val="009D1B81"/>
    <w:rsid w:val="009D2D47"/>
    <w:rsid w:val="009D350E"/>
    <w:rsid w:val="009D36A8"/>
    <w:rsid w:val="009D51D6"/>
    <w:rsid w:val="009D6330"/>
    <w:rsid w:val="009E1861"/>
    <w:rsid w:val="009E3EBD"/>
    <w:rsid w:val="009E7C0D"/>
    <w:rsid w:val="009F0C0E"/>
    <w:rsid w:val="009F10F9"/>
    <w:rsid w:val="009F15FD"/>
    <w:rsid w:val="009F181C"/>
    <w:rsid w:val="009F29F5"/>
    <w:rsid w:val="009F2B82"/>
    <w:rsid w:val="009F4F51"/>
    <w:rsid w:val="009F628D"/>
    <w:rsid w:val="00A0058B"/>
    <w:rsid w:val="00A00658"/>
    <w:rsid w:val="00A02E97"/>
    <w:rsid w:val="00A044C2"/>
    <w:rsid w:val="00A05C9F"/>
    <w:rsid w:val="00A05E55"/>
    <w:rsid w:val="00A06A5C"/>
    <w:rsid w:val="00A07507"/>
    <w:rsid w:val="00A0798F"/>
    <w:rsid w:val="00A12101"/>
    <w:rsid w:val="00A15126"/>
    <w:rsid w:val="00A16A6A"/>
    <w:rsid w:val="00A2668C"/>
    <w:rsid w:val="00A2751D"/>
    <w:rsid w:val="00A27D7D"/>
    <w:rsid w:val="00A3047E"/>
    <w:rsid w:val="00A3361E"/>
    <w:rsid w:val="00A34214"/>
    <w:rsid w:val="00A37F95"/>
    <w:rsid w:val="00A4191D"/>
    <w:rsid w:val="00A45550"/>
    <w:rsid w:val="00A45D06"/>
    <w:rsid w:val="00A468FD"/>
    <w:rsid w:val="00A46A39"/>
    <w:rsid w:val="00A47CA8"/>
    <w:rsid w:val="00A509D5"/>
    <w:rsid w:val="00A52BBA"/>
    <w:rsid w:val="00A54C8C"/>
    <w:rsid w:val="00A56602"/>
    <w:rsid w:val="00A64553"/>
    <w:rsid w:val="00A64DC5"/>
    <w:rsid w:val="00A66557"/>
    <w:rsid w:val="00A6687F"/>
    <w:rsid w:val="00A70CCB"/>
    <w:rsid w:val="00A76958"/>
    <w:rsid w:val="00A82CAA"/>
    <w:rsid w:val="00A844B3"/>
    <w:rsid w:val="00A86AC0"/>
    <w:rsid w:val="00A879DD"/>
    <w:rsid w:val="00A90D5B"/>
    <w:rsid w:val="00A9265B"/>
    <w:rsid w:val="00A93640"/>
    <w:rsid w:val="00AA4B93"/>
    <w:rsid w:val="00AA55BD"/>
    <w:rsid w:val="00AA59C7"/>
    <w:rsid w:val="00AA7CE1"/>
    <w:rsid w:val="00AB0ADB"/>
    <w:rsid w:val="00AB0DC3"/>
    <w:rsid w:val="00AB1E3D"/>
    <w:rsid w:val="00AB45AF"/>
    <w:rsid w:val="00AB7A80"/>
    <w:rsid w:val="00AC00CE"/>
    <w:rsid w:val="00AC057D"/>
    <w:rsid w:val="00AC29A8"/>
    <w:rsid w:val="00AC4C12"/>
    <w:rsid w:val="00AC5ACF"/>
    <w:rsid w:val="00AC7BA7"/>
    <w:rsid w:val="00AD0C9B"/>
    <w:rsid w:val="00AD1195"/>
    <w:rsid w:val="00AD1246"/>
    <w:rsid w:val="00AD1BCA"/>
    <w:rsid w:val="00AD41C5"/>
    <w:rsid w:val="00AD6113"/>
    <w:rsid w:val="00AE01BC"/>
    <w:rsid w:val="00AE0B2A"/>
    <w:rsid w:val="00AE0C1D"/>
    <w:rsid w:val="00AE19CD"/>
    <w:rsid w:val="00AE23F6"/>
    <w:rsid w:val="00AE26B4"/>
    <w:rsid w:val="00AE48D6"/>
    <w:rsid w:val="00AE52B9"/>
    <w:rsid w:val="00AE6E7C"/>
    <w:rsid w:val="00AF0C31"/>
    <w:rsid w:val="00AF1B19"/>
    <w:rsid w:val="00AF1E89"/>
    <w:rsid w:val="00AF4C16"/>
    <w:rsid w:val="00AF5430"/>
    <w:rsid w:val="00AF5F27"/>
    <w:rsid w:val="00AF718A"/>
    <w:rsid w:val="00AF7ADD"/>
    <w:rsid w:val="00AF7AE7"/>
    <w:rsid w:val="00B00F71"/>
    <w:rsid w:val="00B043ED"/>
    <w:rsid w:val="00B044C0"/>
    <w:rsid w:val="00B045D5"/>
    <w:rsid w:val="00B06298"/>
    <w:rsid w:val="00B062E8"/>
    <w:rsid w:val="00B063C8"/>
    <w:rsid w:val="00B07AB9"/>
    <w:rsid w:val="00B119A9"/>
    <w:rsid w:val="00B12CAF"/>
    <w:rsid w:val="00B156BB"/>
    <w:rsid w:val="00B17275"/>
    <w:rsid w:val="00B22B56"/>
    <w:rsid w:val="00B23273"/>
    <w:rsid w:val="00B23C45"/>
    <w:rsid w:val="00B30FF4"/>
    <w:rsid w:val="00B317DC"/>
    <w:rsid w:val="00B33E8F"/>
    <w:rsid w:val="00B33F39"/>
    <w:rsid w:val="00B36BAF"/>
    <w:rsid w:val="00B3754C"/>
    <w:rsid w:val="00B46403"/>
    <w:rsid w:val="00B57251"/>
    <w:rsid w:val="00B5770F"/>
    <w:rsid w:val="00B60D5D"/>
    <w:rsid w:val="00B60EB9"/>
    <w:rsid w:val="00B611FE"/>
    <w:rsid w:val="00B614FA"/>
    <w:rsid w:val="00B62124"/>
    <w:rsid w:val="00B64BC8"/>
    <w:rsid w:val="00B64F8C"/>
    <w:rsid w:val="00B663D2"/>
    <w:rsid w:val="00B7223F"/>
    <w:rsid w:val="00B73491"/>
    <w:rsid w:val="00B74EE3"/>
    <w:rsid w:val="00B7554D"/>
    <w:rsid w:val="00B819C4"/>
    <w:rsid w:val="00B81DF1"/>
    <w:rsid w:val="00B86EAE"/>
    <w:rsid w:val="00B86FA7"/>
    <w:rsid w:val="00B90E7C"/>
    <w:rsid w:val="00B91410"/>
    <w:rsid w:val="00B91DF9"/>
    <w:rsid w:val="00B94CD8"/>
    <w:rsid w:val="00B95E78"/>
    <w:rsid w:val="00B97B54"/>
    <w:rsid w:val="00BA1351"/>
    <w:rsid w:val="00BA3513"/>
    <w:rsid w:val="00BA363D"/>
    <w:rsid w:val="00BA3CEF"/>
    <w:rsid w:val="00BA4990"/>
    <w:rsid w:val="00BA51AA"/>
    <w:rsid w:val="00BA64D7"/>
    <w:rsid w:val="00BA7E64"/>
    <w:rsid w:val="00BB039C"/>
    <w:rsid w:val="00BB2054"/>
    <w:rsid w:val="00BB20F1"/>
    <w:rsid w:val="00BB2BA4"/>
    <w:rsid w:val="00BB2BEF"/>
    <w:rsid w:val="00BB3136"/>
    <w:rsid w:val="00BB3337"/>
    <w:rsid w:val="00BB5E64"/>
    <w:rsid w:val="00BB640F"/>
    <w:rsid w:val="00BB6E71"/>
    <w:rsid w:val="00BB6F78"/>
    <w:rsid w:val="00BC0F4F"/>
    <w:rsid w:val="00BC2DC3"/>
    <w:rsid w:val="00BC5A96"/>
    <w:rsid w:val="00BC5BC5"/>
    <w:rsid w:val="00BC635D"/>
    <w:rsid w:val="00BD0182"/>
    <w:rsid w:val="00BD0A6D"/>
    <w:rsid w:val="00BD1DA5"/>
    <w:rsid w:val="00BD3FED"/>
    <w:rsid w:val="00BD49F8"/>
    <w:rsid w:val="00BD63D1"/>
    <w:rsid w:val="00BE07CF"/>
    <w:rsid w:val="00BE0C0E"/>
    <w:rsid w:val="00BE0EEF"/>
    <w:rsid w:val="00BE6383"/>
    <w:rsid w:val="00BE6AC0"/>
    <w:rsid w:val="00BE6FA5"/>
    <w:rsid w:val="00BE703E"/>
    <w:rsid w:val="00BE788D"/>
    <w:rsid w:val="00BE78BC"/>
    <w:rsid w:val="00BF2DD1"/>
    <w:rsid w:val="00BF3791"/>
    <w:rsid w:val="00BF4D99"/>
    <w:rsid w:val="00BF56AB"/>
    <w:rsid w:val="00BF671C"/>
    <w:rsid w:val="00BF6F39"/>
    <w:rsid w:val="00C00023"/>
    <w:rsid w:val="00C0118E"/>
    <w:rsid w:val="00C018F7"/>
    <w:rsid w:val="00C07DE3"/>
    <w:rsid w:val="00C11748"/>
    <w:rsid w:val="00C122E2"/>
    <w:rsid w:val="00C133B9"/>
    <w:rsid w:val="00C13544"/>
    <w:rsid w:val="00C15075"/>
    <w:rsid w:val="00C1611C"/>
    <w:rsid w:val="00C16923"/>
    <w:rsid w:val="00C204B5"/>
    <w:rsid w:val="00C2162E"/>
    <w:rsid w:val="00C22F8D"/>
    <w:rsid w:val="00C23B14"/>
    <w:rsid w:val="00C263C1"/>
    <w:rsid w:val="00C36388"/>
    <w:rsid w:val="00C3639A"/>
    <w:rsid w:val="00C3655E"/>
    <w:rsid w:val="00C416F3"/>
    <w:rsid w:val="00C43EE0"/>
    <w:rsid w:val="00C44863"/>
    <w:rsid w:val="00C474AB"/>
    <w:rsid w:val="00C50013"/>
    <w:rsid w:val="00C550CC"/>
    <w:rsid w:val="00C61DF5"/>
    <w:rsid w:val="00C658F6"/>
    <w:rsid w:val="00C7580C"/>
    <w:rsid w:val="00C75F94"/>
    <w:rsid w:val="00C76717"/>
    <w:rsid w:val="00C801CB"/>
    <w:rsid w:val="00C83313"/>
    <w:rsid w:val="00C8632B"/>
    <w:rsid w:val="00C902A2"/>
    <w:rsid w:val="00C971D5"/>
    <w:rsid w:val="00CA0C65"/>
    <w:rsid w:val="00CA2AED"/>
    <w:rsid w:val="00CA316E"/>
    <w:rsid w:val="00CA3F15"/>
    <w:rsid w:val="00CA41C9"/>
    <w:rsid w:val="00CA5ADE"/>
    <w:rsid w:val="00CA5E9C"/>
    <w:rsid w:val="00CB137D"/>
    <w:rsid w:val="00CB198E"/>
    <w:rsid w:val="00CB32C3"/>
    <w:rsid w:val="00CB32EC"/>
    <w:rsid w:val="00CB429D"/>
    <w:rsid w:val="00CB4CF5"/>
    <w:rsid w:val="00CB6BFF"/>
    <w:rsid w:val="00CB7F89"/>
    <w:rsid w:val="00CC180F"/>
    <w:rsid w:val="00CC1DD0"/>
    <w:rsid w:val="00CC5782"/>
    <w:rsid w:val="00CC6B30"/>
    <w:rsid w:val="00CD0BE4"/>
    <w:rsid w:val="00CD0D5B"/>
    <w:rsid w:val="00CD11D6"/>
    <w:rsid w:val="00CD3824"/>
    <w:rsid w:val="00CD7497"/>
    <w:rsid w:val="00CD7BE2"/>
    <w:rsid w:val="00CE1E5D"/>
    <w:rsid w:val="00CE51C2"/>
    <w:rsid w:val="00CE586C"/>
    <w:rsid w:val="00CE61C8"/>
    <w:rsid w:val="00CE7172"/>
    <w:rsid w:val="00CF03EC"/>
    <w:rsid w:val="00CF27B2"/>
    <w:rsid w:val="00CF30E5"/>
    <w:rsid w:val="00CF3630"/>
    <w:rsid w:val="00CF460F"/>
    <w:rsid w:val="00CF507B"/>
    <w:rsid w:val="00CF56B2"/>
    <w:rsid w:val="00CF63B7"/>
    <w:rsid w:val="00CF6AE1"/>
    <w:rsid w:val="00CF74FD"/>
    <w:rsid w:val="00D011DE"/>
    <w:rsid w:val="00D02598"/>
    <w:rsid w:val="00D02B9D"/>
    <w:rsid w:val="00D07172"/>
    <w:rsid w:val="00D07839"/>
    <w:rsid w:val="00D15657"/>
    <w:rsid w:val="00D20E4D"/>
    <w:rsid w:val="00D21E49"/>
    <w:rsid w:val="00D22271"/>
    <w:rsid w:val="00D234CD"/>
    <w:rsid w:val="00D25577"/>
    <w:rsid w:val="00D2656D"/>
    <w:rsid w:val="00D27B9E"/>
    <w:rsid w:val="00D348E9"/>
    <w:rsid w:val="00D412AE"/>
    <w:rsid w:val="00D4386D"/>
    <w:rsid w:val="00D4559B"/>
    <w:rsid w:val="00D461FA"/>
    <w:rsid w:val="00D53174"/>
    <w:rsid w:val="00D54DA6"/>
    <w:rsid w:val="00D55D26"/>
    <w:rsid w:val="00D57099"/>
    <w:rsid w:val="00D57A4B"/>
    <w:rsid w:val="00D57D1E"/>
    <w:rsid w:val="00D57E7D"/>
    <w:rsid w:val="00D61413"/>
    <w:rsid w:val="00D6176B"/>
    <w:rsid w:val="00D632A4"/>
    <w:rsid w:val="00D637ED"/>
    <w:rsid w:val="00D64440"/>
    <w:rsid w:val="00D6479C"/>
    <w:rsid w:val="00D65ABB"/>
    <w:rsid w:val="00D6740D"/>
    <w:rsid w:val="00D70920"/>
    <w:rsid w:val="00D712E6"/>
    <w:rsid w:val="00D713E6"/>
    <w:rsid w:val="00D75A53"/>
    <w:rsid w:val="00D75AC8"/>
    <w:rsid w:val="00D80B2C"/>
    <w:rsid w:val="00D80DCD"/>
    <w:rsid w:val="00D81D9C"/>
    <w:rsid w:val="00D827EA"/>
    <w:rsid w:val="00D83673"/>
    <w:rsid w:val="00D838FB"/>
    <w:rsid w:val="00D852EA"/>
    <w:rsid w:val="00D8540C"/>
    <w:rsid w:val="00D859F0"/>
    <w:rsid w:val="00D87A2F"/>
    <w:rsid w:val="00D87A30"/>
    <w:rsid w:val="00D90326"/>
    <w:rsid w:val="00D92DE4"/>
    <w:rsid w:val="00D93222"/>
    <w:rsid w:val="00D93DD9"/>
    <w:rsid w:val="00D94468"/>
    <w:rsid w:val="00D953A4"/>
    <w:rsid w:val="00D96B3D"/>
    <w:rsid w:val="00DA2F0A"/>
    <w:rsid w:val="00DA56F7"/>
    <w:rsid w:val="00DA585A"/>
    <w:rsid w:val="00DB161D"/>
    <w:rsid w:val="00DB21B1"/>
    <w:rsid w:val="00DB2444"/>
    <w:rsid w:val="00DB3754"/>
    <w:rsid w:val="00DB5400"/>
    <w:rsid w:val="00DB5FA3"/>
    <w:rsid w:val="00DC366C"/>
    <w:rsid w:val="00DC61A7"/>
    <w:rsid w:val="00DC7A68"/>
    <w:rsid w:val="00DD225F"/>
    <w:rsid w:val="00DD793E"/>
    <w:rsid w:val="00DE15C4"/>
    <w:rsid w:val="00DE1C65"/>
    <w:rsid w:val="00DE3C92"/>
    <w:rsid w:val="00DE3F70"/>
    <w:rsid w:val="00DE56EF"/>
    <w:rsid w:val="00DE56FC"/>
    <w:rsid w:val="00DE72CD"/>
    <w:rsid w:val="00DE7E8E"/>
    <w:rsid w:val="00DF2359"/>
    <w:rsid w:val="00DF5FD4"/>
    <w:rsid w:val="00DF61F5"/>
    <w:rsid w:val="00DF634A"/>
    <w:rsid w:val="00DF7DB3"/>
    <w:rsid w:val="00E0187A"/>
    <w:rsid w:val="00E03B3D"/>
    <w:rsid w:val="00E03FF8"/>
    <w:rsid w:val="00E04DB8"/>
    <w:rsid w:val="00E052C7"/>
    <w:rsid w:val="00E110BB"/>
    <w:rsid w:val="00E11E44"/>
    <w:rsid w:val="00E135D8"/>
    <w:rsid w:val="00E13CC8"/>
    <w:rsid w:val="00E14293"/>
    <w:rsid w:val="00E1675E"/>
    <w:rsid w:val="00E16AD1"/>
    <w:rsid w:val="00E172EC"/>
    <w:rsid w:val="00E17BEB"/>
    <w:rsid w:val="00E17ED2"/>
    <w:rsid w:val="00E22045"/>
    <w:rsid w:val="00E22145"/>
    <w:rsid w:val="00E2364C"/>
    <w:rsid w:val="00E2375D"/>
    <w:rsid w:val="00E24C73"/>
    <w:rsid w:val="00E25A28"/>
    <w:rsid w:val="00E26321"/>
    <w:rsid w:val="00E26B67"/>
    <w:rsid w:val="00E34DDA"/>
    <w:rsid w:val="00E3768D"/>
    <w:rsid w:val="00E416C1"/>
    <w:rsid w:val="00E41871"/>
    <w:rsid w:val="00E4196D"/>
    <w:rsid w:val="00E435D0"/>
    <w:rsid w:val="00E43688"/>
    <w:rsid w:val="00E43ADF"/>
    <w:rsid w:val="00E4575A"/>
    <w:rsid w:val="00E565D6"/>
    <w:rsid w:val="00E57591"/>
    <w:rsid w:val="00E6061A"/>
    <w:rsid w:val="00E60624"/>
    <w:rsid w:val="00E61500"/>
    <w:rsid w:val="00E6261F"/>
    <w:rsid w:val="00E62F41"/>
    <w:rsid w:val="00E64E5F"/>
    <w:rsid w:val="00E728C0"/>
    <w:rsid w:val="00E7511F"/>
    <w:rsid w:val="00E752FE"/>
    <w:rsid w:val="00E75BFE"/>
    <w:rsid w:val="00E82657"/>
    <w:rsid w:val="00E8364C"/>
    <w:rsid w:val="00E83CF7"/>
    <w:rsid w:val="00E843A1"/>
    <w:rsid w:val="00E8500B"/>
    <w:rsid w:val="00E85DB5"/>
    <w:rsid w:val="00E909B3"/>
    <w:rsid w:val="00E90EB9"/>
    <w:rsid w:val="00E92D36"/>
    <w:rsid w:val="00EA1374"/>
    <w:rsid w:val="00EA1E4F"/>
    <w:rsid w:val="00EA2AB5"/>
    <w:rsid w:val="00EA6563"/>
    <w:rsid w:val="00EA685B"/>
    <w:rsid w:val="00EB0310"/>
    <w:rsid w:val="00EB56B4"/>
    <w:rsid w:val="00EB77E9"/>
    <w:rsid w:val="00EB7D31"/>
    <w:rsid w:val="00EC0C52"/>
    <w:rsid w:val="00EC31B6"/>
    <w:rsid w:val="00EC3EA3"/>
    <w:rsid w:val="00EC5855"/>
    <w:rsid w:val="00EC6ED8"/>
    <w:rsid w:val="00EC700A"/>
    <w:rsid w:val="00ED007B"/>
    <w:rsid w:val="00ED0663"/>
    <w:rsid w:val="00ED1AD1"/>
    <w:rsid w:val="00ED35E0"/>
    <w:rsid w:val="00ED47E4"/>
    <w:rsid w:val="00ED4A1F"/>
    <w:rsid w:val="00ED5BB5"/>
    <w:rsid w:val="00ED739B"/>
    <w:rsid w:val="00EE0090"/>
    <w:rsid w:val="00EE4578"/>
    <w:rsid w:val="00EE4DF8"/>
    <w:rsid w:val="00EE52C4"/>
    <w:rsid w:val="00EE5CDA"/>
    <w:rsid w:val="00EE6985"/>
    <w:rsid w:val="00EE6A7B"/>
    <w:rsid w:val="00EE76DD"/>
    <w:rsid w:val="00EF2363"/>
    <w:rsid w:val="00EF2890"/>
    <w:rsid w:val="00EF5D4C"/>
    <w:rsid w:val="00EF6CE1"/>
    <w:rsid w:val="00F10C4C"/>
    <w:rsid w:val="00F152A9"/>
    <w:rsid w:val="00F178E6"/>
    <w:rsid w:val="00F20664"/>
    <w:rsid w:val="00F21437"/>
    <w:rsid w:val="00F23DA0"/>
    <w:rsid w:val="00F2465B"/>
    <w:rsid w:val="00F304A5"/>
    <w:rsid w:val="00F34625"/>
    <w:rsid w:val="00F358D3"/>
    <w:rsid w:val="00F372C9"/>
    <w:rsid w:val="00F37E6B"/>
    <w:rsid w:val="00F42E71"/>
    <w:rsid w:val="00F4461D"/>
    <w:rsid w:val="00F44DCB"/>
    <w:rsid w:val="00F452EB"/>
    <w:rsid w:val="00F45DCD"/>
    <w:rsid w:val="00F45EB1"/>
    <w:rsid w:val="00F460B7"/>
    <w:rsid w:val="00F47F70"/>
    <w:rsid w:val="00F509FF"/>
    <w:rsid w:val="00F62291"/>
    <w:rsid w:val="00F635C5"/>
    <w:rsid w:val="00F70109"/>
    <w:rsid w:val="00F70CE0"/>
    <w:rsid w:val="00F7276E"/>
    <w:rsid w:val="00F74E14"/>
    <w:rsid w:val="00F75EFD"/>
    <w:rsid w:val="00F81B9D"/>
    <w:rsid w:val="00F8248C"/>
    <w:rsid w:val="00F87C2A"/>
    <w:rsid w:val="00F87F48"/>
    <w:rsid w:val="00F905F7"/>
    <w:rsid w:val="00F90F3B"/>
    <w:rsid w:val="00F92D7A"/>
    <w:rsid w:val="00F93846"/>
    <w:rsid w:val="00F97700"/>
    <w:rsid w:val="00F97BFE"/>
    <w:rsid w:val="00FA1464"/>
    <w:rsid w:val="00FA6F97"/>
    <w:rsid w:val="00FA7B9E"/>
    <w:rsid w:val="00FA7F92"/>
    <w:rsid w:val="00FB0C57"/>
    <w:rsid w:val="00FC2C8C"/>
    <w:rsid w:val="00FC3B95"/>
    <w:rsid w:val="00FC4669"/>
    <w:rsid w:val="00FC5300"/>
    <w:rsid w:val="00FC56F9"/>
    <w:rsid w:val="00FD280B"/>
    <w:rsid w:val="00FD2F52"/>
    <w:rsid w:val="00FD314A"/>
    <w:rsid w:val="00FD6C72"/>
    <w:rsid w:val="00FE0BD3"/>
    <w:rsid w:val="00FE1496"/>
    <w:rsid w:val="00FE5420"/>
    <w:rsid w:val="00FE619A"/>
    <w:rsid w:val="00FE629C"/>
    <w:rsid w:val="00FE6CE5"/>
    <w:rsid w:val="00FE7862"/>
    <w:rsid w:val="00FF14E4"/>
    <w:rsid w:val="00FF41B1"/>
    <w:rsid w:val="00FF563D"/>
    <w:rsid w:val="00FF5BAA"/>
    <w:rsid w:val="00FF6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color w:val="000000" w:themeColor="text1"/>
        <w:sz w:val="28"/>
        <w:szCs w:val="28"/>
        <w:lang w:val="tr-T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6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aliases w:val="Footnote Text Char Char Char Char,Footnote Text Char Char Char Char Char,Footnote Text Char Char Char Char Char Char Char Char Ch Char Char Char,Footnote Text Char Char Char Char Char Char Char Char Ch Char Char Char Char Char Char"/>
    <w:basedOn w:val="Normal"/>
    <w:link w:val="FodnotetekstTegn"/>
    <w:rsid w:val="008607F2"/>
    <w:pPr>
      <w:spacing w:after="0" w:line="240" w:lineRule="auto"/>
      <w:ind w:firstLine="0"/>
      <w:jc w:val="left"/>
    </w:pPr>
    <w:rPr>
      <w:rFonts w:ascii="Times New Roman" w:eastAsia="Times New Roman" w:hAnsi="Times New Roman" w:cs="Times New Roman"/>
      <w:color w:val="auto"/>
      <w:sz w:val="20"/>
      <w:szCs w:val="20"/>
      <w:lang w:val="en-US"/>
    </w:rPr>
  </w:style>
  <w:style w:type="character" w:customStyle="1" w:styleId="FodnotetekstTegn">
    <w:name w:val="Fodnotetekst Tegn"/>
    <w:aliases w:val="Footnote Text Char Char Char Char Tegn,Footnote Text Char Char Char Char Char Tegn,Footnote Text Char Char Char Char Char Char Char Char Ch Char Char Char Tegn"/>
    <w:basedOn w:val="Standardskrifttypeiafsnit"/>
    <w:link w:val="Fodnotetekst"/>
    <w:rsid w:val="008607F2"/>
    <w:rPr>
      <w:rFonts w:ascii="Times New Roman" w:eastAsia="Times New Roman" w:hAnsi="Times New Roman" w:cs="Times New Roman"/>
      <w:b w:val="0"/>
      <w:color w:val="auto"/>
      <w:sz w:val="20"/>
      <w:szCs w:val="20"/>
      <w:lang w:val="en-US"/>
    </w:rPr>
  </w:style>
  <w:style w:type="character" w:styleId="Fodnotehenvisning">
    <w:name w:val="footnote reference"/>
    <w:aliases w:val="Ref,de nota al pie"/>
    <w:basedOn w:val="Standardskrifttypeiafsnit"/>
    <w:rsid w:val="008607F2"/>
    <w:rPr>
      <w:bCs w:val="0"/>
      <w:sz w:val="20"/>
      <w:vertAlign w:val="superscript"/>
    </w:rPr>
  </w:style>
  <w:style w:type="table" w:styleId="Tabel-Gitter">
    <w:name w:val="Table Grid"/>
    <w:basedOn w:val="Tabel-Normal"/>
    <w:uiPriority w:val="59"/>
    <w:rsid w:val="00AB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7B51AC"/>
    <w:rPr>
      <w:color w:val="808080"/>
    </w:rPr>
  </w:style>
  <w:style w:type="paragraph" w:styleId="Sidehoved">
    <w:name w:val="header"/>
    <w:basedOn w:val="Normal"/>
    <w:link w:val="SidehovedTegn"/>
    <w:uiPriority w:val="99"/>
    <w:unhideWhenUsed/>
    <w:rsid w:val="00AC29A8"/>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AC29A8"/>
  </w:style>
  <w:style w:type="paragraph" w:styleId="Sidefod">
    <w:name w:val="footer"/>
    <w:basedOn w:val="Normal"/>
    <w:link w:val="SidefodTegn"/>
    <w:uiPriority w:val="99"/>
    <w:unhideWhenUsed/>
    <w:rsid w:val="00AC29A8"/>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AC29A8"/>
  </w:style>
  <w:style w:type="paragraph" w:styleId="Markeringsbobletekst">
    <w:name w:val="Balloon Text"/>
    <w:basedOn w:val="Normal"/>
    <w:link w:val="MarkeringsbobletekstTegn"/>
    <w:uiPriority w:val="99"/>
    <w:semiHidden/>
    <w:unhideWhenUsed/>
    <w:rsid w:val="00044F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4F5A"/>
    <w:rPr>
      <w:rFonts w:ascii="Tahoma" w:hAnsi="Tahoma" w:cs="Tahoma"/>
      <w:sz w:val="16"/>
      <w:szCs w:val="16"/>
    </w:rPr>
  </w:style>
  <w:style w:type="character" w:styleId="Hyperlink">
    <w:name w:val="Hyperlink"/>
    <w:basedOn w:val="Standardskrifttypeiafsnit"/>
    <w:uiPriority w:val="99"/>
    <w:unhideWhenUsed/>
    <w:rsid w:val="00044F5A"/>
    <w:rPr>
      <w:color w:val="0000FF" w:themeColor="hyperlink"/>
      <w:u w:val="single"/>
    </w:rPr>
  </w:style>
  <w:style w:type="character" w:styleId="BesgtHyperlink">
    <w:name w:val="FollowedHyperlink"/>
    <w:basedOn w:val="Standardskrifttypeiafsnit"/>
    <w:uiPriority w:val="99"/>
    <w:semiHidden/>
    <w:unhideWhenUsed/>
    <w:rsid w:val="00044F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color w:val="000000" w:themeColor="text1"/>
        <w:sz w:val="28"/>
        <w:szCs w:val="28"/>
        <w:lang w:val="tr-TR"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6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aliases w:val="Footnote Text Char Char Char Char,Footnote Text Char Char Char Char Char,Footnote Text Char Char Char Char Char Char Char Char Ch Char Char Char,Footnote Text Char Char Char Char Char Char Char Char Ch Char Char Char Char Char Char"/>
    <w:basedOn w:val="Normal"/>
    <w:link w:val="FodnotetekstTegn"/>
    <w:rsid w:val="008607F2"/>
    <w:pPr>
      <w:spacing w:after="0" w:line="240" w:lineRule="auto"/>
      <w:ind w:firstLine="0"/>
      <w:jc w:val="left"/>
    </w:pPr>
    <w:rPr>
      <w:rFonts w:ascii="Times New Roman" w:eastAsia="Times New Roman" w:hAnsi="Times New Roman" w:cs="Times New Roman"/>
      <w:color w:val="auto"/>
      <w:sz w:val="20"/>
      <w:szCs w:val="20"/>
      <w:lang w:val="en-US"/>
    </w:rPr>
  </w:style>
  <w:style w:type="character" w:customStyle="1" w:styleId="FodnotetekstTegn">
    <w:name w:val="Fodnotetekst Tegn"/>
    <w:aliases w:val="Footnote Text Char Char Char Char Tegn,Footnote Text Char Char Char Char Char Tegn,Footnote Text Char Char Char Char Char Char Char Char Ch Char Char Char Tegn"/>
    <w:basedOn w:val="Standardskrifttypeiafsnit"/>
    <w:link w:val="Fodnotetekst"/>
    <w:rsid w:val="008607F2"/>
    <w:rPr>
      <w:rFonts w:ascii="Times New Roman" w:eastAsia="Times New Roman" w:hAnsi="Times New Roman" w:cs="Times New Roman"/>
      <w:b w:val="0"/>
      <w:color w:val="auto"/>
      <w:sz w:val="20"/>
      <w:szCs w:val="20"/>
      <w:lang w:val="en-US"/>
    </w:rPr>
  </w:style>
  <w:style w:type="character" w:styleId="Fodnotehenvisning">
    <w:name w:val="footnote reference"/>
    <w:aliases w:val="Ref,de nota al pie"/>
    <w:basedOn w:val="Standardskrifttypeiafsnit"/>
    <w:rsid w:val="008607F2"/>
    <w:rPr>
      <w:bCs w:val="0"/>
      <w:sz w:val="20"/>
      <w:vertAlign w:val="superscript"/>
    </w:rPr>
  </w:style>
  <w:style w:type="table" w:styleId="Tabel-Gitter">
    <w:name w:val="Table Grid"/>
    <w:basedOn w:val="Tabel-Normal"/>
    <w:uiPriority w:val="59"/>
    <w:rsid w:val="00AB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7B51AC"/>
    <w:rPr>
      <w:color w:val="808080"/>
    </w:rPr>
  </w:style>
  <w:style w:type="paragraph" w:styleId="Sidehoved">
    <w:name w:val="header"/>
    <w:basedOn w:val="Normal"/>
    <w:link w:val="SidehovedTegn"/>
    <w:uiPriority w:val="99"/>
    <w:unhideWhenUsed/>
    <w:rsid w:val="00AC29A8"/>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AC29A8"/>
  </w:style>
  <w:style w:type="paragraph" w:styleId="Sidefod">
    <w:name w:val="footer"/>
    <w:basedOn w:val="Normal"/>
    <w:link w:val="SidefodTegn"/>
    <w:uiPriority w:val="99"/>
    <w:unhideWhenUsed/>
    <w:rsid w:val="00AC29A8"/>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AC29A8"/>
  </w:style>
  <w:style w:type="paragraph" w:styleId="Markeringsbobletekst">
    <w:name w:val="Balloon Text"/>
    <w:basedOn w:val="Normal"/>
    <w:link w:val="MarkeringsbobletekstTegn"/>
    <w:uiPriority w:val="99"/>
    <w:semiHidden/>
    <w:unhideWhenUsed/>
    <w:rsid w:val="00044F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4F5A"/>
    <w:rPr>
      <w:rFonts w:ascii="Tahoma" w:hAnsi="Tahoma" w:cs="Tahoma"/>
      <w:sz w:val="16"/>
      <w:szCs w:val="16"/>
    </w:rPr>
  </w:style>
  <w:style w:type="character" w:styleId="Hyperlink">
    <w:name w:val="Hyperlink"/>
    <w:basedOn w:val="Standardskrifttypeiafsnit"/>
    <w:uiPriority w:val="99"/>
    <w:unhideWhenUsed/>
    <w:rsid w:val="00044F5A"/>
    <w:rPr>
      <w:color w:val="0000FF" w:themeColor="hyperlink"/>
      <w:u w:val="single"/>
    </w:rPr>
  </w:style>
  <w:style w:type="character" w:styleId="BesgtHyperlink">
    <w:name w:val="FollowedHyperlink"/>
    <w:basedOn w:val="Standardskrifttypeiafsnit"/>
    <w:uiPriority w:val="99"/>
    <w:semiHidden/>
    <w:unhideWhenUsed/>
    <w:rsid w:val="00044F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ts.gov.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tk.gov.tr/kutuphane_ve_veribankasi/%20pazar_verileri/pazar_verileri.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ts.gov.tr/files/DEA_MNT_v4.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D39BB-0DEB-4AFC-A2FC-89D673C3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2520</Words>
  <Characters>15378</Characters>
  <Application>Microsoft Office Word</Application>
  <DocSecurity>4</DocSecurity>
  <Lines>128</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ygoktaylar</dc:creator>
  <cp:lastModifiedBy>Anette Bysøe</cp:lastModifiedBy>
  <cp:revision>2</cp:revision>
  <cp:lastPrinted>2014-11-10T07:23:00Z</cp:lastPrinted>
  <dcterms:created xsi:type="dcterms:W3CDTF">2014-11-21T12:51:00Z</dcterms:created>
  <dcterms:modified xsi:type="dcterms:W3CDTF">2014-11-21T12:51:00Z</dcterms:modified>
</cp:coreProperties>
</file>